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png" ContentType="image/png"/>
  <Override PartName="/word/media/rId33.png" ContentType="image/png"/>
  <Override PartName="/word/media/rId38.png" ContentType="image/png"/>
  <Override PartName="/word/media/rId28.png" ContentType="image/png"/>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Triggers NEPA Review for Decarbonization Projects?</w:t>
      </w:r>
    </w:p>
    <w:p>
      <w:pPr>
        <w:pStyle w:val="Subtitle"/>
      </w:pPr>
      <w:r>
        <w:t xml:space="preserve">NEPA by the Numbers — Fact Sheet 2: The Federal Nexus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Federal funding is the dominant NEPA trigger for decarbonization projects</w:t>
            </w:r>
            <w:r>
              <w:t xml:space="preserve"> </w:t>
            </w:r>
            <w:r>
              <w:t xml:space="preserve">— 9,210 of 20,725 projects (44.4%). DOE’s grant and loan portfolio generates more decarbonization NEPA reviews than any other federal nexus.</w:t>
            </w:r>
          </w:p>
          <w:p>
            <w:pPr>
              <w:pStyle w:val="Compact"/>
              <w:numPr>
                <w:ilvl w:val="0"/>
                <w:numId w:val="1001"/>
              </w:numPr>
            </w:pPr>
            <w:r>
              <w:rPr>
                <w:b/>
                <w:bCs/>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pStyle w:val="Compact"/>
              <w:numPr>
                <w:ilvl w:val="0"/>
                <w:numId w:val="1001"/>
              </w:numPr>
            </w:pPr>
            <w:r>
              <w:rPr>
                <w:b/>
                <w:bCs/>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pStyle w:val="Compact"/>
              <w:numPr>
                <w:ilvl w:val="0"/>
                <w:numId w:val="1001"/>
              </w:numPr>
            </w:pPr>
            <w:r>
              <w:rPr>
                <w:b/>
                <w:bCs/>
              </w:rPr>
              <w:t xml:space="preserve">Trigger patterns follow institutional logic.</w:t>
            </w:r>
            <w:r>
              <w:t xml:space="preserve"> </w:t>
            </w:r>
            <w:r>
              <w:t xml:space="preserve">Transmission projects skew toward the federal power marketing administrations; emerging technologies (carbon capture, hydrokinetic, energy storage) are the most funding-driven of all; and solar and onshore wind are mostly funding-triggered, with BLM land access the clear second nexus.</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[[TO BE WRITTEN BY CATF]]</w:t>
      </w:r>
    </w:p>
    <w:bookmarkEnd w:id="13"/>
    <w:bookmarkStart w:id="17" w:name="methodology"/>
    <w:p>
      <w:pPr>
        <w:pStyle w:val="Heading1"/>
      </w:pPr>
      <w:r>
        <w:t xml:space="preserve">Methodology</w:t>
      </w:r>
    </w:p>
    <w:bookmarkStart w:id="14" w:name="scope-and-trigger-definitions"/>
    <w:p>
      <w:pPr>
        <w:pStyle w:val="Heading2"/>
      </w:pPr>
      <w:r>
        <w:t xml:space="preserve">Scope and trigger definitions</w:t>
      </w:r>
    </w:p>
    <w:p>
      <w:pPr>
        <w:pStyle w:val="FirstParagraph"/>
      </w:pPr>
      <w:r>
        <w:t xml:space="preserve">The analysis covers all 20,725 decarbonization projects in NEPATEC 2.0. Each is assigned one primary trigger — the federal nexus that brought it under NEPA:</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
                <w:bCs/>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
                <w:bCs/>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
                <w:bCs/>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
                <w:bCs/>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
                <w:bCs/>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
                <w:bCs/>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
                <w:bCs/>
              </w:rPr>
              <w:t xml:space="preserve">Property Transaction</w:t>
            </w:r>
          </w:p>
        </w:tc>
        <w:tc>
          <w:tcPr/>
          <w:p>
            <w:pPr>
              <w:pStyle w:val="Compact"/>
              <w:jc w:val="left"/>
            </w:pPr>
            <w:r>
              <w:t xml:space="preserve">A land exchange, disposal, or conveyance of federal property</w:t>
            </w:r>
          </w:p>
        </w:tc>
      </w:tr>
    </w:tbl>
    <w:bookmarkEnd w:id="14"/>
    <w:bookmarkStart w:id="16"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20,642 of 20,725 projects (99.6%); the remaining 0.4%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15">
        <w:r>
          <w:rPr>
            <w:rStyle w:val="Hyperlink"/>
          </w:rPr>
          <w:t xml:space="preserve">Phase 2 Deliverable 1 report</w:t>
        </w:r>
      </w:hyperlink>
      <w:r>
        <w:t xml:space="preserve">.</w:t>
      </w:r>
    </w:p>
    <w:bookmarkEnd w:id="16"/>
    <w:bookmarkEnd w:id="17"/>
    <w:bookmarkStart w:id="48" w:name="results"/>
    <w:p>
      <w:pPr>
        <w:pStyle w:val="Heading1"/>
      </w:pPr>
      <w:r>
        <w:t xml:space="preserve">Results</w:t>
      </w:r>
    </w:p>
    <w:bookmarkStart w:id="22" w:name="Xc6b8d2dff03890bc2f33874cabfaea9bb7183a4"/>
    <w:p>
      <w:pPr>
        <w:pStyle w:val="Heading2"/>
      </w:pPr>
      <w:r>
        <w:t xml:space="preserve">Funding dominates the trigger distribution</w:t>
      </w:r>
    </w:p>
    <w:p>
      <w:pPr>
        <w:pStyle w:val="FirstParagraph"/>
      </w:pPr>
      <w:r>
        <w:t xml:space="preserve">44.4% of all decarbonization NEPA reviews — more than two in five — exist because a federal agency provided money (</w:t>
      </w:r>
      <w:hyperlink w:anchor="fig-trigger-counts">
        <w:r>
          <w:rPr>
            <w:rStyle w:val="Hyperlink"/>
          </w:rPr>
          <w:t xml:space="preserve">Figure 1</w:t>
        </w:r>
      </w:hyperlink>
      <w:r>
        <w:t xml:space="preserve">). Land access is second (18.3%), reflecting utility-scale renewables on BLM and National Forest land, followed by the power marketing administrations and TVA (17.1%) and direct federal action (15.3%), the latter dominated by DOE’s own facilities and laboratories.</w:t>
      </w:r>
    </w:p>
    <w:tbl>
      <w:tblPr>
        <w:tblStyle w:val="Table"/>
        <w:tblW w:type="pct" w:w="5000"/>
        <w:tblLayout w:type="fixed"/>
        <w:tblLook w:firstRow="0" w:lastRow="0" w:firstColumn="0" w:lastColumn="0" w:noHBand="0" w:noVBand="0" w:val="0000"/>
      </w:tblPr>
      <w:tblGrid>
        <w:gridCol w:w="7920"/>
      </w:tblGrid>
      <w:tr>
        <w:tc>
          <w:tcPr/>
          <w:bookmarkStart w:id="21" w:name="fig-trigger-counts"/>
          <w:p>
            <w:pPr>
              <w:pStyle w:val="Compact"/>
              <w:jc w:val="center"/>
            </w:pPr>
            <w:r>
              <w:drawing>
                <wp:inline>
                  <wp:extent cx="5067300" cy="2787015"/>
                  <wp:effectExtent b="0" l="0" r="0" t="0"/>
                  <wp:docPr descr="" title="" id="19" name="Picture"/>
                  <a:graphic>
                    <a:graphicData uri="http://schemas.openxmlformats.org/drawingml/2006/picture">
                      <pic:pic>
                        <pic:nvPicPr>
                          <pic:cNvPr descr="../output/factsheet/figures/fs2_trigger_counts.png" id="20" name="Picture"/>
                          <pic:cNvPicPr>
                            <a:picLocks noChangeArrowheads="1" noChangeAspect="1"/>
                          </pic:cNvPicPr>
                        </pic:nvPicPr>
                        <pic:blipFill>
                          <a:blip r:embed="rId1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Primary NEPA trigger across all decarbonization projects in NEPATEC 2.0.</w:t>
            </w:r>
          </w:p>
          <w:bookmarkEnd w:id="21"/>
        </w:tc>
      </w:tr>
    </w:tbl>
    <w:bookmarkEnd w:id="22"/>
    <w:bookmarkStart w:id="27" w:name="Xe7527c306bb75b1b31786e14763e3ff636b4e1f"/>
    <w:p>
      <w:pPr>
        <w:pStyle w:val="Heading2"/>
      </w:pPr>
      <w:r>
        <w:t xml:space="preserve">Each review process draws on a different trigger mix</w:t>
      </w:r>
    </w:p>
    <w:p>
      <w:pPr>
        <w:pStyle w:val="FirstParagraph"/>
      </w:pPr>
      <w:r>
        <w:t xml:space="preserve">The three review processes have distinct trigger profiles (</w:t>
      </w:r>
      <w:hyperlink w:anchor="fig-trigger-by-process">
        <w:r>
          <w:rPr>
            <w:rStyle w:val="Hyperlink"/>
          </w:rPr>
          <w:t xml:space="preserve">Figure 2</w:t>
        </w:r>
      </w:hyperlink>
      <w:r>
        <w:t xml:space="preserve">). CEs are dominated by funding — DOE’s clean energy grant and loan programs generate a high volume of low-complexity actions. EAs show the most balanced mix. EISs skew toward land, PMA/TVA, and permits: the larger, more contested projects tend to be sited on public land, federally built, or federally licensed.</w:t>
      </w:r>
    </w:p>
    <w:tbl>
      <w:tblPr>
        <w:tblStyle w:val="Table"/>
        <w:tblW w:type="pct" w:w="5000"/>
        <w:tblLayout w:type="fixed"/>
        <w:tblLook w:firstRow="0" w:lastRow="0" w:firstColumn="0" w:lastColumn="0" w:noHBand="0" w:noVBand="0" w:val="0000"/>
      </w:tblPr>
      <w:tblGrid>
        <w:gridCol w:w="7920"/>
      </w:tblGrid>
      <w:tr>
        <w:tc>
          <w:tcPr/>
          <w:bookmarkStart w:id="26" w:name="fig-trigger-by-process"/>
          <w:p>
            <w:pPr>
              <w:pStyle w:val="Compact"/>
              <w:jc w:val="center"/>
            </w:pPr>
            <w:r>
              <w:drawing>
                <wp:inline>
                  <wp:extent cx="4800600" cy="3900487"/>
                  <wp:effectExtent b="0" l="0" r="0" t="0"/>
                  <wp:docPr descr="" title="" id="24" name="Picture"/>
                  <a:graphic>
                    <a:graphicData uri="http://schemas.openxmlformats.org/drawingml/2006/picture">
                      <pic:pic>
                        <pic:nvPicPr>
                          <pic:cNvPr descr="../output/factsheet/figures/fig2_trigger_by_process.png" id="25" name="Picture"/>
                          <pic:cNvPicPr>
                            <a:picLocks noChangeArrowheads="1" noChangeAspect="1"/>
                          </pic:cNvPicPr>
                        </pic:nvPicPr>
                        <pic:blipFill>
                          <a:blip r:embed="rId23"/>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Primary NEPA trigger composition within each review process (decarbonization projects). Percentage labels shown for segments &gt; 5%.</w:t>
            </w:r>
          </w:p>
          <w:bookmarkEnd w:id="26"/>
        </w:tc>
      </w:tr>
    </w:tbl>
    <w:bookmarkEnd w:id="27"/>
    <w:bookmarkStart w:id="32" w:name="X58a353688734eb00dfdfd81e41a4b784365675e"/>
    <w:p>
      <w:pPr>
        <w:pStyle w:val="Heading2"/>
      </w:pPr>
      <w:r>
        <w:t xml:space="preserve">Trigger class predicts the level of review</w:t>
      </w:r>
    </w:p>
    <w:p>
      <w:pPr>
        <w:pStyle w:val="FirstParagraph"/>
      </w:pPr>
      <w:r>
        <w:t xml:space="preserve">Read the other way, the same data reveal a sharp split by trigger (</w:t>
      </w:r>
      <w:hyperlink w:anchor="fig-process-by-trigger">
        <w:r>
          <w:rPr>
            <w:rStyle w:val="Hyperlink"/>
          </w:rPr>
          <w:t xml:space="preserve">Figure 3</w:t>
        </w:r>
      </w:hyperlink>
      <w:r>
        <w:t xml:space="preserve">). Funding-triggered projects are 99% CEs: of the 9,210 reviews that exist because of a federal grant or loan, only 116 escalated to an EA and just 22 to a full EIS. Land- and permit-triggered projects carry far more review weight — 14% and 46% of them, respectively, are EAs or EISs. The permit class is the most striking: two in five permit-triggered reviews (40%) are full EISs, by far the highest EIS rate of any trigger. And in absolute terms, federal land access produced 308 EISs — more than any other nexus — even though the land class is less than half the size of the funding class. The gradient is consistent: the further a federal hook moves from writing a check toward authorizing ground disturbance or licensing a facility, the heavier the review it generates.</w:t>
      </w:r>
    </w:p>
    <w:tbl>
      <w:tblPr>
        <w:tblStyle w:val="Table"/>
        <w:tblW w:type="pct" w:w="5000"/>
        <w:tblLayout w:type="fixed"/>
        <w:tblLook w:firstRow="0" w:lastRow="0" w:firstColumn="0" w:lastColumn="0" w:noHBand="0" w:noVBand="0" w:val="0000"/>
      </w:tblPr>
      <w:tblGrid>
        <w:gridCol w:w="7920"/>
      </w:tblGrid>
      <w:tr>
        <w:tc>
          <w:tcPr/>
          <w:bookmarkStart w:id="31" w:name="fig-process-by-trigger"/>
          <w:p>
            <w:pPr>
              <w:pStyle w:val="Compact"/>
              <w:jc w:val="center"/>
            </w:pPr>
            <w:r>
              <w:drawing>
                <wp:inline>
                  <wp:extent cx="5067300" cy="2787015"/>
                  <wp:effectExtent b="0" l="0" r="0" t="0"/>
                  <wp:docPr descr="" title="" id="29" name="Picture"/>
                  <a:graphic>
                    <a:graphicData uri="http://schemas.openxmlformats.org/drawingml/2006/picture">
                      <pic:pic>
                        <pic:nvPicPr>
                          <pic:cNvPr descr="../output/factsheet/figures/fs2_process_by_trigger.png" id="30" name="Picture"/>
                          <pic:cNvPicPr>
                            <a:picLocks noChangeArrowheads="1" noChangeAspect="1"/>
                          </pic:cNvPicPr>
                        </pic:nvPicPr>
                        <pic:blipFill>
                          <a:blip r:embed="rId2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CE, EA, and EIS reviews within each primary trigger class (decarbonization projects; the small Unknown class shown for completeness). Right-side labels show total projects.</w:t>
            </w:r>
          </w:p>
          <w:bookmarkEnd w:id="31"/>
        </w:tc>
      </w:tr>
    </w:tbl>
    <w:bookmarkEnd w:id="32"/>
    <w:bookmarkStart w:id="37" w:name="Xca0104d7e7d980d0baee984dd4d40ef1c67b5b5"/>
    <w:p>
      <w:pPr>
        <w:pStyle w:val="Heading2"/>
      </w:pPr>
      <w:r>
        <w:t xml:space="preserve">Department jurisdiction shapes the trigger mix</w:t>
      </w:r>
    </w:p>
    <w:p>
      <w:pPr>
        <w:pStyle w:val="FirstParagraph"/>
      </w:pPr>
      <w:r>
        <w:t xml:space="preserve">Department patterns follow jurisdiction (</w:t>
      </w:r>
      <w:hyperlink w:anchor="fig-dept">
        <w:r>
          <w:rPr>
            <w:rStyle w:val="Hyperlink"/>
          </w:rPr>
          <w:t xml:space="preserve">Figure 4</w:t>
        </w:r>
      </w:hyperlink>
      <w:r>
        <w:t xml:space="preserve">):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ayout w:type="fixed"/>
        <w:tblLook w:firstRow="0" w:lastRow="0" w:firstColumn="0" w:lastColumn="0" w:noHBand="0" w:noVBand="0" w:val="0000"/>
      </w:tblPr>
      <w:tblGrid>
        <w:gridCol w:w="7920"/>
      </w:tblGrid>
      <w:tr>
        <w:tc>
          <w:tcPr/>
          <w:bookmarkStart w:id="36" w:name="fig-dept"/>
          <w:p>
            <w:pPr>
              <w:pStyle w:val="Compact"/>
              <w:jc w:val="center"/>
            </w:pPr>
            <w:r>
              <w:drawing>
                <wp:inline>
                  <wp:extent cx="5334000" cy="2872153"/>
                  <wp:effectExtent b="0" l="0" r="0" t="0"/>
                  <wp:docPr descr="" title="" id="34" name="Picture"/>
                  <a:graphic>
                    <a:graphicData uri="http://schemas.openxmlformats.org/drawingml/2006/picture">
                      <pic:pic>
                        <pic:nvPicPr>
                          <pic:cNvPr descr="../output/factsheet/figures/fig4_department_trigger_heatmap.png" id="35" name="Picture"/>
                          <pic:cNvPicPr>
                            <a:picLocks noChangeArrowheads="1" noChangeAspect="1"/>
                          </pic:cNvPicPr>
                        </pic:nvPicPr>
                        <pic:blipFill>
                          <a:blip r:embed="rId33"/>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NEPA trigger distribution by federal parent department. Each row sums to 100%.</w:t>
            </w:r>
          </w:p>
          <w:bookmarkEnd w:id="36"/>
        </w:tc>
      </w:tr>
    </w:tbl>
    <w:bookmarkEnd w:id="37"/>
    <w:bookmarkStart w:id="42" w:name="technology-mirrors-the-same-nexus-logic"/>
    <w:p>
      <w:pPr>
        <w:pStyle w:val="Heading2"/>
      </w:pPr>
      <w:r>
        <w:t xml:space="preserve">Technology mirrors the same nexus logic</w:t>
      </w:r>
    </w:p>
    <w:p>
      <w:pPr>
        <w:pStyle w:val="FirstParagraph"/>
      </w:pPr>
      <w:r>
        <w:t xml:space="preserve">Technology patterns reflect the same nexus logic (</w:t>
      </w:r>
      <w:hyperlink w:anchor="fig-tech">
        <w:r>
          <w:rPr>
            <w:rStyle w:val="Hyperlink"/>
          </w:rPr>
          <w:t xml:space="preserve">Figure 5</w:t>
        </w:r>
      </w:hyperlink>
      <w:r>
        <w:t xml:space="preserve">). The most funding-driven technologies are the emerging ones: carbon capture (91%) and hydrokinetic (91%) top the portfolio, with the renewable catch-all category (89%) and energy storage (86%) just behind. These technologies reach NEPA almost exclusively through DOE’s grant programs, because they rarely sit on federal land or require a federal license. Solar and onshore wind are also mostly funding-triggered (74% and 55%), but with land (BLM rights-of-way) a substantial second nexus (17% and 24%). Transmission is the mirror image — the lowest funding share of any technology (9%) and the highest PMA/TVA share (48%), because BPA and WAPA build and maintain federal lines. Hydropower and nuclear stand out for their permit shares (17% and 42% — FERC licensing of non-federal dams; NRC licensing).</w:t>
      </w:r>
    </w:p>
    <w:tbl>
      <w:tblPr>
        <w:tblStyle w:val="Table"/>
        <w:tblW w:type="pct" w:w="5000"/>
        <w:tblLayout w:type="fixed"/>
        <w:tblLook w:firstRow="0" w:lastRow="0" w:firstColumn="0" w:lastColumn="0" w:noHBand="0" w:noVBand="0" w:val="0000"/>
      </w:tblPr>
      <w:tblGrid>
        <w:gridCol w:w="7920"/>
      </w:tblGrid>
      <w:tr>
        <w:tc>
          <w:tcPr/>
          <w:bookmarkStart w:id="41" w:name="fig-tech"/>
          <w:p>
            <w:pPr>
              <w:pStyle w:val="Compact"/>
              <w:jc w:val="center"/>
            </w:pPr>
            <w:r>
              <w:drawing>
                <wp:inline>
                  <wp:extent cx="5334000" cy="3151909"/>
                  <wp:effectExtent b="0" l="0" r="0" t="0"/>
                  <wp:docPr descr="" title="" id="39" name="Picture"/>
                  <a:graphic>
                    <a:graphicData uri="http://schemas.openxmlformats.org/drawingml/2006/picture">
                      <pic:pic>
                        <pic:nvPicPr>
                          <pic:cNvPr descr="../output/factsheet/figures/fig5_trigger_by_technology.png" id="40" name="Picture"/>
                          <pic:cNvPicPr>
                            <a:picLocks noChangeArrowheads="1" noChangeAspect="1"/>
                          </pic:cNvPicPr>
                        </pic:nvPicPr>
                        <pic:blipFill>
                          <a:blip r:embed="rId38"/>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Primary NEPA trigger by energy technology (technologies with at least 50 projects). Right-side labels show total projects.</w:t>
            </w:r>
          </w:p>
          <w:bookmarkEnd w:id="41"/>
        </w:tc>
      </w:tr>
    </w:tbl>
    <w:bookmarkEnd w:id="42"/>
    <w:bookmarkStart w:id="47" w:name="Xffd9cd9707676f22835a7b10b53d7ea4c3ca0c6"/>
    <w:p>
      <w:pPr>
        <w:pStyle w:val="Heading2"/>
      </w:pPr>
      <w:r>
        <w:t xml:space="preserve">Few documents disclose a funding amount, and those that do skew small</w:t>
      </w:r>
    </w:p>
    <w:p>
      <w:pPr>
        <w:pStyle w:val="FirstParagraph"/>
      </w:pPr>
      <w:r>
        <w:t xml:space="preserve">For funding-triggered projects, we also extracted the dollar amounts where documents state them, though most NEPA documents do not report an award figure. Only a fraction of funding-triggered reviews contain an extractable amount, so the distribution in</w:t>
      </w:r>
      <w:r>
        <w:t xml:space="preserve"> </w:t>
      </w:r>
      <w:hyperlink w:anchor="fig-funding-amounts">
        <w:r>
          <w:rPr>
            <w:rStyle w:val="Hyperlink"/>
          </w:rPr>
          <w:t xml:space="preserve">Figure 6</w:t>
        </w:r>
      </w:hyperlink>
      <w:r>
        <w:t xml:space="preserve"> </w:t>
      </w:r>
      <w:r>
        <w:t xml:space="preserve">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ayout w:type="fixed"/>
        <w:tblLook w:firstRow="0" w:lastRow="0" w:firstColumn="0" w:lastColumn="0" w:noHBand="0" w:noVBand="0" w:val="0000"/>
      </w:tblPr>
      <w:tblGrid>
        <w:gridCol w:w="7920"/>
      </w:tblGrid>
      <w:tr>
        <w:tc>
          <w:tcPr/>
          <w:bookmarkStart w:id="46" w:name="fig-funding-amounts"/>
          <w:p>
            <w:pPr>
              <w:pStyle w:val="Compact"/>
              <w:jc w:val="center"/>
            </w:pPr>
            <w:r>
              <w:drawing>
                <wp:inline>
                  <wp:extent cx="5067300" cy="2799080"/>
                  <wp:effectExtent b="0" l="0" r="0" t="0"/>
                  <wp:docPr descr="" title="" id="44" name="Picture"/>
                  <a:graphic>
                    <a:graphicData uri="http://schemas.openxmlformats.org/drawingml/2006/picture">
                      <pic:pic>
                        <pic:nvPicPr>
                          <pic:cNvPr descr="../output/factsheet/figures/fig11_funding_amount_distribution.png" id="45" name="Picture"/>
                          <pic:cNvPicPr>
                            <a:picLocks noChangeArrowheads="1" noChangeAspect="1"/>
                          </pic:cNvPicPr>
                        </pic:nvPicPr>
                        <pic:blipFill>
                          <a:blip r:embed="rId43"/>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46"/>
        </w:tc>
      </w:tr>
    </w:tbl>
    <w:bookmarkEnd w:id="47"/>
    <w:bookmarkEnd w:id="48"/>
    <w:bookmarkStart w:id="49" w:name="conclusion-and-policy-implications"/>
    <w:p>
      <w:pPr>
        <w:pStyle w:val="Heading1"/>
      </w:pPr>
      <w:r>
        <w:t xml:space="preserve">Conclusion and Policy Implications</w:t>
      </w:r>
    </w:p>
    <w:p>
      <w:pPr>
        <w:pStyle w:val="FirstParagraph"/>
      </w:pPr>
      <w:r>
        <w:rPr>
          <w:b/>
          <w:bCs/>
        </w:rPr>
        <w:t xml:space="preserve">More than two in five decarbonization NEPA reviews (44.4%) are triggered by federal funding — and those reviews are almost entirely categorically excluded (99%).</w:t>
      </w:r>
      <w:r>
        <w:t xml:space="preserve"> </w:t>
      </w:r>
      <w:r>
        <w:t xml:space="preserve">A reform that exempted federal financial assistance from NEPA would therefore remove a large</w:t>
      </w:r>
      <w:r>
        <w:t xml:space="preserve"> </w:t>
      </w:r>
      <w:r>
        <w:rPr>
          <w:i/>
          <w:iCs/>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meaningful acceleration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pPr>
        <w:pStyle w:val="BodyText"/>
      </w:pPr>
      <w:r>
        <w:t xml:space="preserve">Two caveats bound these conclusions. The trigger classes that generate the heaviest reviews are also the smallest — only 319 decarbonization projects are permit-triggered, and 53 are property transactions — so process shares for the rare classes rest on far fewer projects than the funding figures and should be read with corresponding caution. And because each project is assigned a single primary trigger, projects with several federal hooks — a funded project on federal land, a licensed dam that also received a grant — are counted once, understating how often the heavyweight nexuses are in play. Both limitations trace to the same root: nothing in the NEPA process requires an agency to record</w:t>
      </w:r>
      <w:r>
        <w:t xml:space="preserve"> </w:t>
      </w:r>
      <w:r>
        <w:rPr>
          <w:i/>
          <w:iCs/>
        </w:rPr>
        <w:t xml:space="preserve">why</w:t>
      </w:r>
      <w:r>
        <w:t xml:space="preserve"> </w:t>
      </w:r>
      <w:r>
        <w:t xml:space="preserve">NEPA applied. Building trigger identification into NEPA metadata — a structured field naming the federal nexus, or all of them when several apply, captured at the time of review — would replace after-the-fact classification like ours with an authoritative record, just as the CEQ NEPA and Permitting Data and Technology Standard would do for timelines.</w:t>
      </w:r>
    </w:p>
    <w:p>
      <w:r>
        <w:pict>
          <v:rect style="width:0;height:1.5pt" o:hralign="center" o:hrstd="t" o:hr="t"/>
        </w:pict>
      </w:r>
    </w:p>
    <w:p>
      <w:pPr>
        <w:pStyle w:val="FirstParagraph"/>
      </w:pPr>
      <w:r>
        <w:rPr>
          <w:i/>
          <w:iCs/>
        </w:rPr>
        <w:t xml:space="preserve">Data: NEPATEC 2.0, 20,725 decarbonization projects. Methods and full results:</w:t>
      </w:r>
      <w:r>
        <w:rPr>
          <w:i/>
          <w:iCs/>
        </w:rPr>
        <w:t xml:space="preserve"> </w:t>
      </w:r>
      <w:hyperlink r:id="rId15">
        <w:r>
          <w:rPr>
            <w:rStyle w:val="Hyperlink"/>
            <w:i/>
            <w:iCs/>
          </w:rPr>
          <w:t xml:space="preserve">Phase 2 Deliverable 1</w:t>
        </w:r>
      </w:hyperlink>
      <w:r>
        <w:rPr>
          <w:i/>
          <w:iCs/>
        </w:rPr>
        <w:t xml:space="preserv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hyperlink" Id="rId15"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15"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2026-08-01T04:40:16Z</dcterms:created>
  <dcterms:modified xsi:type="dcterms:W3CDTF">2026-08-01T04:40:16Z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2: The Federal Nexus</vt:lpwstr>
  </property>
  <property fmtid="{D5CDD505-2E9C-101B-9397-08002B2CF9AE}" pid="12" name="toc-title">
    <vt:lpwstr>Table of contents</vt:lpwstr>
  </property>
</Properties>
</file>