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0.png" ContentType="image/png"/>
  <Override PartName="/word/media/rId34.png" ContentType="image/png"/>
  <Override PartName="/word/media/rId25.png" ContentType="image/png"/>
  <Override PartName="/word/media/rId2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NEPA Reviews Talk About Visual Impacts</w:t>
      </w:r>
    </w:p>
    <w:p>
      <w:pPr>
        <w:pStyle w:val="Subtitle"/>
      </w:pPr>
      <w:r>
        <w:t xml:space="preserve">NEPA by the Numbers — Fact Sheet 4: Visual Impacts</w:t>
      </w:r>
    </w:p>
    <w:p>
      <w:pPr>
        <w:pStyle w:val="Date"/>
      </w:pPr>
      <w:r>
        <w:t xml:space="preserve">July 31, 2026</w:t>
      </w:r>
    </w:p>
    <w:bookmarkStart w:id="12" w:name="key-findings"/>
    <w:p>
      <w:pPr>
        <w:pStyle w:val="Heading2"/>
      </w:pPr>
      <w:r>
        <w:t xml:space="preserve">Key Findings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pStyle w:val="Compact"/>
              <w:numPr>
                <w:ilvl w:val="0"/>
                <w:numId w:val="1001"/>
              </w:numPr>
            </w:pPr>
            <w:r>
              <w:rPr>
                <w:b/>
                <w:bCs/>
              </w:rPr>
              <w:t xml:space="preserve">Visual impact concerns appear across all energy technologies — fossil and decarbonization alike.</w:t>
            </w:r>
            <w:r>
              <w:t xml:space="preserve"> </w:t>
            </w:r>
            <w:r>
              <w:t xml:space="preserve">Visual-resource sections are roughly equal in median length across the two portfolios, and the largest visual-impact theme (industrial and infrastructure corridors, n ≈ 804 projects) spans both.</w:t>
            </w:r>
          </w:p>
          <w:p>
            <w:pPr>
              <w:pStyle w:val="Compact"/>
              <w:numPr>
                <w:ilvl w:val="0"/>
                <w:numId w:val="1001"/>
              </w:numPr>
            </w:pPr>
            <w:r>
              <w:rPr>
                <w:b/>
                <w:bCs/>
              </w:rPr>
              <w:t xml:space="preserve">The specific concerns are technology-shaped.</w:t>
            </w:r>
            <w:r>
              <w:t xml:space="preserve"> </w:t>
            </w:r>
            <w:r>
              <w:t xml:space="preserve">Decarbonization documents center on shadow flicker (wind), glare and panel reflectivity (solar), and transmission-line intrusion; fossil documents center on compressor stations, contrast ratings, and the lasting footprint of surface disturbance.</w:t>
            </w:r>
          </w:p>
          <w:p>
            <w:pPr>
              <w:pStyle w:val="Compact"/>
              <w:numPr>
                <w:ilvl w:val="0"/>
                <w:numId w:val="1001"/>
              </w:numPr>
            </w:pPr>
            <w:r>
              <w:rPr>
                <w:b/>
                <w:bCs/>
              </w:rPr>
              <w:t xml:space="preserve">Decarbonization documents name adverse visual effects more explicitly, while fossil documents contain more specific mitigation commitments</w:t>
            </w:r>
            <w:r>
              <w:t xml:space="preserve"> </w:t>
            </w:r>
            <w:r>
              <w:t xml:space="preserve">— a difference in regulatory drafting regimes (design standards vs. BLM permit conditions), not in actual visual harm.</w:t>
            </w:r>
          </w:p>
          <w:p>
            <w:pPr>
              <w:pStyle w:val="Compact"/>
              <w:numPr>
                <w:ilvl w:val="0"/>
                <w:numId w:val="1001"/>
              </w:numPr>
            </w:pPr>
            <w:r>
              <w:rPr>
                <w:b/>
                <w:bCs/>
              </w:rPr>
              <w:t xml:space="preserve">Visual-impact prose not only clusters by the fossil–decarbonization divide, but also clusters by project type and regulatory context.</w:t>
            </w:r>
            <w:r>
              <w:t xml:space="preserve"> </w:t>
            </w:r>
            <w:r>
              <w:t xml:space="preserve">The most common theme — industrial and infrastructure corridors (n ≈ 804) — is energy-type agnostic: pipelines, transmission lines, and substations raise the same visual concerns whatever energy they carry.</w:t>
            </w:r>
          </w:p>
          <w:p>
            <w:pPr>
              <w:pStyle w:val="Compact"/>
              <w:numPr>
                <w:ilvl w:val="0"/>
                <w:numId w:val="1001"/>
              </w:numPr>
            </w:pPr>
            <w:r>
              <w:rPr>
                <w:b/>
                <w:bCs/>
              </w:rPr>
              <w:t xml:space="preserve">Developers should take visual concerns seriously.</w:t>
            </w:r>
            <w:r>
              <w:t xml:space="preserve"> </w:t>
            </w:r>
            <w:r>
              <w:t xml:space="preserve">They appear in the majority of the EA/EIS documents whose visual sections we could extract, and they are specific enough to be anticipated and mitigated by design.</w:t>
            </w:r>
          </w:p>
          <w:p/>
        </w:tc>
      </w:tr>
    </w:tbl>
    <w:p>
      <w:r>
        <w:pict>
          <v:rect style="width:0;height:1.5pt" o:hralign="center" o:hrstd="t" o:hr="t"/>
        </w:pict>
      </w:r>
    </w:p>
    <w:bookmarkEnd w:id="12"/>
    <w:bookmarkStart w:id="13" w:name="introduction"/>
    <w:p>
      <w:pPr>
        <w:pStyle w:val="Heading1"/>
      </w:pPr>
      <w:r>
        <w:t xml:space="preserve">Introduction</w:t>
      </w:r>
    </w:p>
    <w:p>
      <w:pPr>
        <w:pStyle w:val="FirstParagraph"/>
      </w:pPr>
      <w:r>
        <w:t xml:space="preserve">[[TO BE WRITTEN BY CATF]]</w:t>
      </w:r>
    </w:p>
    <w:p>
      <w:pPr>
        <w:pStyle w:val="BodyText"/>
      </w:pPr>
      <w:r>
        <w:t xml:space="preserve">This fact sheet analyzes the visual-resource sections recovered from 1,591 of the roughly 2,900 EA and EIS projects in NEPATEC 2.0 (~55% — the share whose document formatting allowed a visual section to be extracted), comparing decarbonization and fossil portfolios.</w:t>
      </w:r>
    </w:p>
    <w:bookmarkEnd w:id="13"/>
    <w:bookmarkStart w:id="15" w:name="methodology"/>
    <w:p>
      <w:pPr>
        <w:pStyle w:val="Heading1"/>
      </w:pPr>
      <w:r>
        <w:t xml:space="preserve">Methodology</w:t>
      </w:r>
    </w:p>
    <w:p>
      <w:pPr>
        <w:pStyle w:val="FirstParagraph"/>
      </w:pPr>
      <w:r>
        <w:t xml:space="preserve">We extracted the full visual-resources section from each EA and EIS using heading-anchored extraction (locating visual-resource headings and capturing the section through its natural end), with a keyword-based fallback for documents without clean heading structures — most commonly form-style oil-and-gas EAs. CE forms are out of scope (they rarely contain visual analysis). Three analyses were run on the extracted text:</w:t>
      </w:r>
    </w:p>
    <w:p>
      <w:pPr>
        <w:pStyle w:val="Compact"/>
        <w:numPr>
          <w:ilvl w:val="0"/>
          <w:numId w:val="1002"/>
        </w:numPr>
      </w:pPr>
      <w:r>
        <w:rPr>
          <w:b/>
          <w:bCs/>
        </w:rPr>
        <w:t xml:space="preserve">Distinctive vocabulary</w:t>
      </w:r>
      <w:r>
        <w:t xml:space="preserve"> </w:t>
      </w:r>
      <w:r>
        <w:t xml:space="preserve">— TF-IDF scoring of the two-word phrases that most distinguish each portfolio’s visual sections from the other’s.</w:t>
      </w:r>
    </w:p>
    <w:p>
      <w:pPr>
        <w:pStyle w:val="Compact"/>
        <w:numPr>
          <w:ilvl w:val="0"/>
          <w:numId w:val="1002"/>
        </w:numPr>
      </w:pPr>
      <w:r>
        <w:rPr>
          <w:b/>
          <w:bCs/>
        </w:rPr>
        <w:t xml:space="preserve">Framing analysis</w:t>
      </w:r>
      <w:r>
        <w:t xml:space="preserve"> </w:t>
      </w:r>
      <w:r>
        <w:t xml:space="preserve">— sentence-level scoring on three axes anchored to CEQ significance terminology (§1508.27), using negation-aware matching so</w:t>
      </w:r>
      <w:r>
        <w:t xml:space="preserve"> </w:t>
      </w:r>
      <w:r>
        <w:t xml:space="preserve">“no significant adverse impact”</w:t>
      </w:r>
      <w:r>
        <w:t xml:space="preserve"> </w:t>
      </w:r>
      <w:r>
        <w:t xml:space="preserve">counts as</w:t>
      </w:r>
      <w:r>
        <w:t xml:space="preserve"> </w:t>
      </w:r>
      <w:r>
        <w:rPr>
          <w:i/>
          <w:iCs/>
        </w:rPr>
        <w:t xml:space="preserve">low</w:t>
      </w:r>
      <w:r>
        <w:t xml:space="preserve"> </w:t>
      </w:r>
      <w:r>
        <w:t xml:space="preserve">adversity: significance language, adversity language, and mitigation-commitment strength. General-purpose sentiment tools would misread NEPA text (the word</w:t>
      </w:r>
      <w:r>
        <w:t xml:space="preserve"> </w:t>
      </w:r>
      <w:r>
        <w:t xml:space="preserve">“impact”</w:t>
      </w:r>
      <w:r>
        <w:t xml:space="preserve"> </w:t>
      </w:r>
      <w:r>
        <w:t xml:space="preserve">itself scores negative), so the lexicons are domain-calibrated.</w:t>
      </w:r>
    </w:p>
    <w:p>
      <w:pPr>
        <w:pStyle w:val="Compact"/>
        <w:numPr>
          <w:ilvl w:val="0"/>
          <w:numId w:val="1002"/>
        </w:numPr>
      </w:pPr>
      <w:r>
        <w:rPr>
          <w:b/>
          <w:bCs/>
        </w:rPr>
        <w:t xml:space="preserve">Topic modeling</w:t>
      </w:r>
      <w:r>
        <w:t xml:space="preserve"> </w:t>
      </w:r>
      <w:r>
        <w:t xml:space="preserve">— non-negative matrix factorization (NMF) fitted on the ~1,300 heading-anchored sections and applied to all 1,591 extracted sections to find the recurring themes, with the topic count validated by reconstruction-error analysis.</w:t>
      </w:r>
    </w:p>
    <w:p>
      <w:pPr>
        <w:pStyle w:val="FirstParagraph"/>
      </w:pPr>
      <w:r>
        <w:t xml:space="preserve">Full detail is in the</w:t>
      </w:r>
      <w:r>
        <w:t xml:space="preserve"> </w:t>
      </w:r>
      <w:hyperlink r:id="rId14">
        <w:r>
          <w:rPr>
            <w:rStyle w:val="Hyperlink"/>
          </w:rPr>
          <w:t xml:space="preserve">Phase 2 Deliverable 3 report</w:t>
        </w:r>
      </w:hyperlink>
      <w:r>
        <w:t xml:space="preserve">.</w:t>
      </w:r>
    </w:p>
    <w:bookmarkEnd w:id="15"/>
    <w:bookmarkStart w:id="39" w:name="results"/>
    <w:p>
      <w:pPr>
        <w:pStyle w:val="Heading1"/>
      </w:pPr>
      <w:r>
        <w:t xml:space="preserve">Results</w:t>
      </w:r>
    </w:p>
    <w:bookmarkStart w:id="24" w:name="X4ad12e2b0080c603e02b893b10964ba307f2e16"/>
    <w:p>
      <w:pPr>
        <w:pStyle w:val="Heading2"/>
      </w:pPr>
      <w:r>
        <w:t xml:space="preserve">Distinctive vocabulary reflects technology-specific visual concerns</w:t>
      </w:r>
    </w:p>
    <w:p>
      <w:pPr>
        <w:pStyle w:val="FirstParagraph"/>
      </w:pPr>
      <w:hyperlink w:anchor="fig-wordcloud">
        <w:r>
          <w:rPr>
            <w:rStyle w:val="Hyperlink"/>
          </w:rPr>
          <w:t xml:space="preserve">Figure 1</w:t>
        </w:r>
      </w:hyperlink>
      <w:r>
        <w:t xml:space="preserve"> </w:t>
      </w:r>
      <w:r>
        <w:t xml:space="preserve">shows the phrases most distinctive to each portfolio’s visual sections, and they are technology-specific. Decarbonization sections are dominated by</w:t>
      </w:r>
      <w:r>
        <w:t xml:space="preserve"> </w:t>
      </w:r>
      <w:r>
        <w:rPr>
          <w:i/>
          <w:iCs/>
        </w:rPr>
        <w:t xml:space="preserve">shadow flicker</w:t>
      </w:r>
      <w:r>
        <w:t xml:space="preserve">,</w:t>
      </w:r>
      <w:r>
        <w:t xml:space="preserve"> </w:t>
      </w:r>
      <w:r>
        <w:rPr>
          <w:i/>
          <w:iCs/>
        </w:rPr>
        <w:t xml:space="preserve">transmission line</w:t>
      </w:r>
      <w:r>
        <w:t xml:space="preserve">,</w:t>
      </w:r>
      <w:r>
        <w:t xml:space="preserve"> </w:t>
      </w:r>
      <w:r>
        <w:rPr>
          <w:i/>
          <w:iCs/>
        </w:rPr>
        <w:t xml:space="preserve">wind turbines</w:t>
      </w:r>
      <w:r>
        <w:t xml:space="preserve">,</w:t>
      </w:r>
      <w:r>
        <w:t xml:space="preserve"> </w:t>
      </w:r>
      <w:r>
        <w:rPr>
          <w:i/>
          <w:iCs/>
        </w:rPr>
        <w:t xml:space="preserve">solar panels</w:t>
      </w:r>
      <w:r>
        <w:t xml:space="preserve">, and</w:t>
      </w:r>
      <w:r>
        <w:t xml:space="preserve"> </w:t>
      </w:r>
      <w:r>
        <w:rPr>
          <w:i/>
          <w:iCs/>
        </w:rPr>
        <w:t xml:space="preserve">viewer sensitivity</w:t>
      </w:r>
      <w:r>
        <w:t xml:space="preserve"> </w:t>
      </w:r>
      <w:r>
        <w:t xml:space="preserve">— the glare, shadow, and skyline analyses that wind and solar require. Fossil sections surface</w:t>
      </w:r>
      <w:r>
        <w:t xml:space="preserve"> </w:t>
      </w:r>
      <w:r>
        <w:rPr>
          <w:i/>
          <w:iCs/>
        </w:rPr>
        <w:t xml:space="preserve">contrast rating</w:t>
      </w:r>
      <w:r>
        <w:t xml:space="preserve">,</w:t>
      </w:r>
      <w:r>
        <w:t xml:space="preserve"> </w:t>
      </w:r>
      <w:r>
        <w:rPr>
          <w:i/>
          <w:iCs/>
        </w:rPr>
        <w:t xml:space="preserve">compressor station</w:t>
      </w:r>
      <w:r>
        <w:t xml:space="preserve">,</w:t>
      </w:r>
      <w:r>
        <w:t xml:space="preserve"> </w:t>
      </w:r>
      <w:r>
        <w:rPr>
          <w:i/>
          <w:iCs/>
        </w:rPr>
        <w:t xml:space="preserve">wilderness characteristics</w:t>
      </w:r>
      <w:r>
        <w:t xml:space="preserve">, and</w:t>
      </w:r>
      <w:r>
        <w:t xml:space="preserve"> </w:t>
      </w:r>
      <w:r>
        <w:rPr>
          <w:i/>
          <w:iCs/>
        </w:rPr>
        <w:t xml:space="preserve">major modification</w:t>
      </w:r>
      <w:r>
        <w:t xml:space="preserve"> </w:t>
      </w:r>
      <w:r>
        <w:t xml:space="preserve">— pipeline and oil-and-gas language about BLM contrast scoring and industrial facilities on public land.</w:t>
      </w:r>
    </w:p>
    <w:tbl>
      <w:tblPr>
        <w:tblStyle w:val="Table"/>
        <w:tblW w:type="pct" w:w="5000"/>
        <w:tblLayout w:type="fixed"/>
        <w:tblLook w:firstRow="0" w:lastRow="0" w:firstColumn="0" w:lastColumn="0" w:noHBand="0" w:noVBand="0" w:val="0000"/>
      </w:tblPr>
      <w:tblGrid>
        <w:gridCol w:w="7920"/>
      </w:tblGrid>
      <w:tr>
        <w:tc>
          <w:tcPr/>
          <w:bookmarkStart w:id="19" w:name="fig-wordcloud"/>
          <w:p>
            <w:pPr>
              <w:pStyle w:val="Compact"/>
              <w:jc w:val="center"/>
            </w:pPr>
            <w:r>
              <w:drawing>
                <wp:inline>
                  <wp:extent cx="5334000" cy="2667000"/>
                  <wp:effectExtent b="0" l="0" r="0" t="0"/>
                  <wp:docPr descr="" title="" id="17" name="Picture"/>
                  <a:graphic>
                    <a:graphicData uri="http://schemas.openxmlformats.org/drawingml/2006/picture">
                      <pic:pic>
                        <pic:nvPicPr>
                          <pic:cNvPr descr="../output/factsheet/figures/fig13_wordcloud_grid.png" id="18" name="Picture"/>
                          <pic:cNvPicPr>
                            <a:picLocks noChangeArrowheads="1" noChangeAspect="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Note: TF-IDF word clouds — the bigrams most distinctive to each portfolio’s visual-impact sections (EA and EIS combined; up to 30 terms per panel).</w:t>
            </w:r>
          </w:p>
          <w:bookmarkEnd w:id="19"/>
        </w:tc>
      </w:tr>
    </w:tbl>
    <w:p>
      <w:pPr>
        <w:pStyle w:val="BodyText"/>
      </w:pPr>
      <w:hyperlink w:anchor="fig-length">
        <w:r>
          <w:rPr>
            <w:rStyle w:val="Hyperlink"/>
          </w:rPr>
          <w:t xml:space="preserve">Figure 2</w:t>
        </w:r>
      </w:hyperlink>
      <w:r>
        <w:t xml:space="preserve"> </w:t>
      </w:r>
      <w:r>
        <w:t xml:space="preserve">tells the same story from another angle, plotting the length of each portfolio’s visual sections: median visual-section length is similar across the portfolios, with the decarbonization distribution wider — wind, solar, and transmission EISs produce long dedicated glare and viewshed analyses.</w:t>
      </w:r>
    </w:p>
    <w:tbl>
      <w:tblPr>
        <w:tblStyle w:val="Table"/>
        <w:tblW w:type="pct" w:w="5000"/>
        <w:tblLayout w:type="fixed"/>
        <w:tblLook w:firstRow="0" w:lastRow="0" w:firstColumn="0" w:lastColumn="0" w:noHBand="0" w:noVBand="0" w:val="0000"/>
      </w:tblPr>
      <w:tblGrid>
        <w:gridCol w:w="7920"/>
      </w:tblGrid>
      <w:tr>
        <w:tc>
          <w:tcPr/>
          <w:bookmarkStart w:id="23" w:name="fig-length"/>
          <w:p>
            <w:pPr>
              <w:pStyle w:val="Compact"/>
              <w:jc w:val="center"/>
            </w:pPr>
            <w:r>
              <w:drawing>
                <wp:inline>
                  <wp:extent cx="4800600" cy="1680210"/>
                  <wp:effectExtent b="0" l="0" r="0" t="0"/>
                  <wp:docPr descr="" title="" id="21" name="Picture"/>
                  <a:graphic>
                    <a:graphicData uri="http://schemas.openxmlformats.org/drawingml/2006/picture">
                      <pic:pic>
                        <pic:nvPicPr>
                          <pic:cNvPr descr="../output/factsheet/figures/fig19a_section_length_energy.png" id="22" name="Picture"/>
                          <pic:cNvPicPr>
                            <a:picLocks noChangeArrowheads="1" noChangeAspect="1"/>
                          </pic:cNvPicPr>
                        </pic:nvPicPr>
                        <pic:blipFill>
                          <a:blip r:embed="rId20"/>
                          <a:stretch>
                            <a:fillRect/>
                          </a:stretch>
                        </pic:blipFill>
                        <pic:spPr bwMode="auto">
                          <a:xfrm>
                            <a:off x="0" y="0"/>
                            <a:ext cx="4800600" cy="168021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Note: Visual section length (words) by energy category, heading-anchored EA/EIS sections only.</w:t>
            </w:r>
          </w:p>
          <w:bookmarkEnd w:id="23"/>
        </w:tc>
      </w:tr>
    </w:tbl>
    <w:bookmarkEnd w:id="24"/>
    <w:bookmarkStart w:id="29" w:name="Xbdcb2855d7c1e7ecf4ec284f1eff4313ac4c304"/>
    <w:p>
      <w:pPr>
        <w:pStyle w:val="Heading2"/>
      </w:pPr>
      <w:r>
        <w:t xml:space="preserve">Decarbonization documents name the harm more openly; fossil documents enumerate more mitigation</w:t>
      </w:r>
    </w:p>
    <w:p>
      <w:pPr>
        <w:pStyle w:val="FirstParagraph"/>
      </w:pPr>
      <w:hyperlink w:anchor="fig-framing">
        <w:r>
          <w:rPr>
            <w:rStyle w:val="Hyperlink"/>
          </w:rPr>
          <w:t xml:space="preserve">Figure 3</w:t>
        </w:r>
      </w:hyperlink>
      <w:r>
        <w:t xml:space="preserve"> </w:t>
      </w:r>
      <w:r>
        <w:t xml:space="preserve">compares how the two portfolios</w:t>
      </w:r>
      <w:r>
        <w:t xml:space="preserve"> </w:t>
      </w:r>
      <w:r>
        <w:rPr>
          <w:i/>
          <w:iCs/>
        </w:rPr>
        <w:t xml:space="preserve">write about</w:t>
      </w:r>
      <w:r>
        <w:t xml:space="preserve"> </w:t>
      </w:r>
      <w:r>
        <w:t xml:space="preserve">visual impacts, scoring the sentences in each document’s visual section on three measures drawn from NEPA’s own regulatory vocabulary (CEQ §1508.27):</w:t>
      </w:r>
    </w:p>
    <w:p>
      <w:pPr>
        <w:pStyle w:val="Compact"/>
        <w:numPr>
          <w:ilvl w:val="0"/>
          <w:numId w:val="1003"/>
        </w:numPr>
      </w:pPr>
      <w:r>
        <w:rPr>
          <w:b/>
          <w:bCs/>
        </w:rPr>
        <w:t xml:space="preserve">Significance</w:t>
      </w:r>
      <w:r>
        <w:t xml:space="preserve"> </w:t>
      </w:r>
      <w:r>
        <w:t xml:space="preserve">— how severe the document says the impact is. Does it reach for high-severity words like</w:t>
      </w:r>
      <w:r>
        <w:t xml:space="preserve"> </w:t>
      </w:r>
      <w:r>
        <w:rPr>
          <w:i/>
          <w:iCs/>
        </w:rPr>
        <w:t xml:space="preserve">substantial</w:t>
      </w:r>
      <w:r>
        <w:t xml:space="preserve">,</w:t>
      </w:r>
      <w:r>
        <w:t xml:space="preserve"> </w:t>
      </w:r>
      <w:r>
        <w:rPr>
          <w:i/>
          <w:iCs/>
        </w:rPr>
        <w:t xml:space="preserve">major</w:t>
      </w:r>
      <w:r>
        <w:t xml:space="preserve">, and</w:t>
      </w:r>
      <w:r>
        <w:t xml:space="preserve"> </w:t>
      </w:r>
      <w:r>
        <w:rPr>
          <w:i/>
          <w:iCs/>
        </w:rPr>
        <w:t xml:space="preserve">severe</w:t>
      </w:r>
      <w:r>
        <w:t xml:space="preserve">, or minimizing ones like</w:t>
      </w:r>
      <w:r>
        <w:t xml:space="preserve"> </w:t>
      </w:r>
      <w:r>
        <w:rPr>
          <w:i/>
          <w:iCs/>
        </w:rPr>
        <w:t xml:space="preserve">minor</w:t>
      </w:r>
      <w:r>
        <w:t xml:space="preserve">,</w:t>
      </w:r>
      <w:r>
        <w:t xml:space="preserve"> </w:t>
      </w:r>
      <w:r>
        <w:rPr>
          <w:i/>
          <w:iCs/>
        </w:rPr>
        <w:t xml:space="preserve">negligible</w:t>
      </w:r>
      <w:r>
        <w:t xml:space="preserve">, and</w:t>
      </w:r>
      <w:r>
        <w:t xml:space="preserve"> </w:t>
      </w:r>
      <w:r>
        <w:rPr>
          <w:i/>
          <w:iCs/>
        </w:rPr>
        <w:t xml:space="preserve">less than significant</w:t>
      </w:r>
      <w:r>
        <w:t xml:space="preserve">?</w:t>
      </w:r>
    </w:p>
    <w:p>
      <w:pPr>
        <w:pStyle w:val="Compact"/>
        <w:numPr>
          <w:ilvl w:val="0"/>
          <w:numId w:val="1003"/>
        </w:numPr>
      </w:pPr>
      <w:r>
        <w:rPr>
          <w:b/>
          <w:bCs/>
        </w:rPr>
        <w:t xml:space="preserve">Adversity</w:t>
      </w:r>
      <w:r>
        <w:t xml:space="preserve"> </w:t>
      </w:r>
      <w:r>
        <w:t xml:space="preserve">— whether the document describes the impact as a harm at all. Language like</w:t>
      </w:r>
      <w:r>
        <w:t xml:space="preserve"> </w:t>
      </w:r>
      <w:r>
        <w:rPr>
          <w:i/>
          <w:iCs/>
        </w:rPr>
        <w:t xml:space="preserve">adverse</w:t>
      </w:r>
      <w:r>
        <w:t xml:space="preserve">,</w:t>
      </w:r>
      <w:r>
        <w:t xml:space="preserve"> </w:t>
      </w:r>
      <w:r>
        <w:rPr>
          <w:i/>
          <w:iCs/>
        </w:rPr>
        <w:t xml:space="preserve">degrade</w:t>
      </w:r>
      <w:r>
        <w:t xml:space="preserve">, and</w:t>
      </w:r>
      <w:r>
        <w:t xml:space="preserve"> </w:t>
      </w:r>
      <w:r>
        <w:rPr>
          <w:i/>
          <w:iCs/>
        </w:rPr>
        <w:t xml:space="preserve">detrimental</w:t>
      </w:r>
      <w:r>
        <w:t xml:space="preserve"> </w:t>
      </w:r>
      <w:r>
        <w:t xml:space="preserve">counts as adverse;</w:t>
      </w:r>
      <w:r>
        <w:t xml:space="preserve"> </w:t>
      </w:r>
      <w:r>
        <w:rPr>
          <w:i/>
          <w:iCs/>
        </w:rPr>
        <w:t xml:space="preserve">beneficial</w:t>
      </w:r>
      <w:r>
        <w:t xml:space="preserve"> </w:t>
      </w:r>
      <w:r>
        <w:t xml:space="preserve">and</w:t>
      </w:r>
      <w:r>
        <w:t xml:space="preserve"> </w:t>
      </w:r>
      <w:r>
        <w:rPr>
          <w:i/>
          <w:iCs/>
        </w:rPr>
        <w:t xml:space="preserve">no effect</w:t>
      </w:r>
      <w:r>
        <w:t xml:space="preserve"> </w:t>
      </w:r>
      <w:r>
        <w:t xml:space="preserve">count as the opposite.</w:t>
      </w:r>
    </w:p>
    <w:p>
      <w:pPr>
        <w:pStyle w:val="Compact"/>
        <w:numPr>
          <w:ilvl w:val="0"/>
          <w:numId w:val="1003"/>
        </w:numPr>
      </w:pPr>
      <w:r>
        <w:rPr>
          <w:b/>
          <w:bCs/>
        </w:rPr>
        <w:t xml:space="preserve">Mitigation strength</w:t>
      </w:r>
      <w:r>
        <w:t xml:space="preserve"> </w:t>
      </w:r>
      <w:r>
        <w:t xml:space="preserve">— how firm the document’s promises to reduce the impact are. Concrete, checkable commitments (</w:t>
      </w:r>
      <w:r>
        <w:rPr>
          <w:i/>
          <w:iCs/>
        </w:rPr>
        <w:t xml:space="preserve">shall install</w:t>
      </w:r>
      <w:r>
        <w:t xml:space="preserve">,</w:t>
      </w:r>
      <w:r>
        <w:t xml:space="preserve"> </w:t>
      </w:r>
      <w:r>
        <w:rPr>
          <w:i/>
          <w:iCs/>
        </w:rPr>
        <w:t xml:space="preserve">required to</w:t>
      </w:r>
      <w:r>
        <w:t xml:space="preserve">) score as strong; hedged or resigned language (</w:t>
      </w:r>
      <w:r>
        <w:rPr>
          <w:i/>
          <w:iCs/>
        </w:rPr>
        <w:t xml:space="preserve">residual impact</w:t>
      </w:r>
      <w:r>
        <w:t xml:space="preserve">,</w:t>
      </w:r>
      <w:r>
        <w:t xml:space="preserve"> </w:t>
      </w:r>
      <w:r>
        <w:rPr>
          <w:i/>
          <w:iCs/>
        </w:rPr>
        <w:t xml:space="preserve">unavoidable</w:t>
      </w:r>
      <w:r>
        <w:t xml:space="preserve">,</w:t>
      </w:r>
      <w:r>
        <w:t xml:space="preserve"> </w:t>
      </w:r>
      <w:r>
        <w:rPr>
          <w:i/>
          <w:iCs/>
        </w:rPr>
        <w:t xml:space="preserve">cannot fully mitigate</w:t>
      </w:r>
      <w:r>
        <w:t xml:space="preserve">) scores as weak.</w:t>
      </w:r>
    </w:p>
    <w:p>
      <w:pPr>
        <w:pStyle w:val="FirstParagraph"/>
      </w:pPr>
      <w:r>
        <w:t xml:space="preserve">The two portfolios use severity language at nearly identical rates (in the average document, 59% vs. 62% of severity-tinged sentences use the high-severity terms), but part ways on the other two measures. Decarbonization documents carry higher adversity framing (76% vs. 61%) — they explicitly name adverse visual effects (</w:t>
      </w:r>
      <w:r>
        <w:t xml:space="preserve">“moderate, long-term adverse impacts… altering the scenic attractiveness rating”</w:t>
      </w:r>
      <w:r>
        <w:t xml:space="preserve">). Fossil documents score higher on mitigation strength (55% vs. 45%), with enumerated, inspectable commitments (</w:t>
      </w:r>
      <w:r>
        <w:t xml:space="preserve">“operator shall install opaque screening of specified height,”</w:t>
      </w:r>
      <w:r>
        <w:t xml:space="preserve"> </w:t>
      </w:r>
      <w:r>
        <w:t xml:space="preserve">“earth-tone paint matching an approved Munsell color”</w:t>
      </w:r>
      <w:r>
        <w:t xml:space="preserve">).</w:t>
      </w:r>
    </w:p>
    <w:p>
      <w:pPr>
        <w:pStyle w:val="BodyText"/>
      </w:pPr>
      <w:r>
        <w:t xml:space="preserve">This is not evidence that wind and solar harm views more than gas wells do, but instead reflects two different drafting regimes: wind/solar EISs acknowledge site-specific visual effects openly and resolve them through design standards and programmatic commitments, while oil-and-gas documents written under BLM’s permit-and-plan regime inherit enumerated mitigation conditions as a matter of form.</w:t>
      </w:r>
    </w:p>
    <w:tbl>
      <w:tblPr>
        <w:tblStyle w:val="Table"/>
        <w:tblW w:type="pct" w:w="5000"/>
        <w:tblLayout w:type="fixed"/>
        <w:tblLook w:firstRow="0" w:lastRow="0" w:firstColumn="0" w:lastColumn="0" w:noHBand="0" w:noVBand="0" w:val="0000"/>
      </w:tblPr>
      <w:tblGrid>
        <w:gridCol w:w="7920"/>
      </w:tblGrid>
      <w:tr>
        <w:tc>
          <w:tcPr/>
          <w:bookmarkStart w:id="28" w:name="fig-framing"/>
          <w:p>
            <w:pPr>
              <w:pStyle w:val="Compact"/>
              <w:jc w:val="center"/>
            </w:pPr>
            <w:r>
              <w:drawing>
                <wp:inline>
                  <wp:extent cx="5334000" cy="5334000"/>
                  <wp:effectExtent b="0" l="0" r="0" t="0"/>
                  <wp:docPr descr="" title="" id="26" name="Picture"/>
                  <a:graphic>
                    <a:graphicData uri="http://schemas.openxmlformats.org/drawingml/2006/picture">
                      <pic:pic>
                        <pic:nvPicPr>
                          <pic:cNvPr descr="../output/factsheet/figures/fig18_visual_framing.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Note: CEQ §1508.27-anchored framing scores by energy category — significance, adversity, and mitigation strength. Negation-aware phrase matching.</w:t>
            </w:r>
          </w:p>
          <w:bookmarkEnd w:id="28"/>
        </w:tc>
      </w:tr>
    </w:tbl>
    <w:bookmarkEnd w:id="29"/>
    <w:bookmarkStart w:id="38" w:name="Xce890246afa4416a68fa03fb8428a58678fa3ea"/>
    <w:p>
      <w:pPr>
        <w:pStyle w:val="Heading2"/>
      </w:pPr>
      <w:r>
        <w:t xml:space="preserve">Visual-impact prose clusters not only by the fossil–decarbonization divide, but also by project type and regulatory context</w:t>
      </w:r>
    </w:p>
    <w:p>
      <w:pPr>
        <w:pStyle w:val="FirstParagraph"/>
      </w:pPr>
      <w:r>
        <w:t xml:space="preserve">Topic modeling finds four coherent themes in the visual-impact prose, and</w:t>
      </w:r>
      <w:r>
        <w:t xml:space="preserve"> </w:t>
      </w:r>
      <w:hyperlink w:anchor="fig-topics">
        <w:r>
          <w:rPr>
            <w:rStyle w:val="Hyperlink"/>
          </w:rPr>
          <w:t xml:space="preserve">Figure 4</w:t>
        </w:r>
      </w:hyperlink>
      <w:r>
        <w:t xml:space="preserve"> </w:t>
      </w:r>
      <w:r>
        <w:t xml:space="preserve">shows how many projects fall into each theme by energy category. The themes show that prose clusters not only by the fossil–decarbonization divide, but also by project type and regulatory context:</w:t>
      </w:r>
    </w:p>
    <w:p>
      <w:pPr>
        <w:pStyle w:val="Compact"/>
        <w:numPr>
          <w:ilvl w:val="0"/>
          <w:numId w:val="1004"/>
        </w:numPr>
      </w:pPr>
      <w:r>
        <w:rPr>
          <w:b/>
          <w:bCs/>
        </w:rPr>
        <w:t xml:space="preserve">Industrial and infrastructure corridors (n ≈ 804)</w:t>
      </w:r>
      <w:r>
        <w:t xml:space="preserve"> </w:t>
      </w:r>
      <w:r>
        <w:t xml:space="preserve">— the largest topic, spanning both portfolios: pipelines, transmission lines, LNG terminals, substations. Linear industrial infrastructure raises the same visual questions whatever it carries.</w:t>
      </w:r>
    </w:p>
    <w:p>
      <w:pPr>
        <w:pStyle w:val="Compact"/>
        <w:numPr>
          <w:ilvl w:val="0"/>
          <w:numId w:val="1004"/>
        </w:numPr>
      </w:pPr>
      <w:r>
        <w:rPr>
          <w:b/>
          <w:bCs/>
        </w:rPr>
        <w:t xml:space="preserve">VRM contrast rating and solar glare (n ≈ 432)</w:t>
      </w:r>
      <w:r>
        <w:t xml:space="preserve"> </w:t>
      </w:r>
      <w:r>
        <w:t xml:space="preserve">— applied BLM contrast-rating outcomes, concentrated in solar and transmission projects.</w:t>
      </w:r>
    </w:p>
    <w:p>
      <w:pPr>
        <w:pStyle w:val="Compact"/>
        <w:numPr>
          <w:ilvl w:val="0"/>
          <w:numId w:val="1004"/>
        </w:numPr>
      </w:pPr>
      <w:r>
        <w:rPr>
          <w:b/>
          <w:bCs/>
        </w:rPr>
        <w:t xml:space="preserve">BLM VRM objectives and landscape management (n ≈ 286)</w:t>
      </w:r>
      <w:r>
        <w:t xml:space="preserve"> </w:t>
      </w:r>
      <w:r>
        <w:t xml:space="preserve">— the formal VRM compliance framework: mostly oil-and-gas, pipeline, and transmission projects on BLM land, predominantly EISs.</w:t>
      </w:r>
    </w:p>
    <w:p>
      <w:pPr>
        <w:pStyle w:val="Compact"/>
        <w:numPr>
          <w:ilvl w:val="0"/>
          <w:numId w:val="1004"/>
        </w:numPr>
      </w:pPr>
      <w:r>
        <w:rPr>
          <w:b/>
          <w:bCs/>
        </w:rPr>
        <w:t xml:space="preserve">Wind turbine shadow flicker (n ≈ 69)</w:t>
      </w:r>
      <w:r>
        <w:t xml:space="preserve"> </w:t>
      </w:r>
      <w:r>
        <w:t xml:space="preserve">— the most coherent topic in the model, almost entirely wind-specific (66 of 69 projects are decarbonization): quantifying annual shadow-hours per receptor against thresholds (commonly 30 hours/year).</w:t>
      </w:r>
    </w:p>
    <w:tbl>
      <w:tblPr>
        <w:tblStyle w:val="Table"/>
        <w:tblW w:type="pct" w:w="5000"/>
        <w:tblLayout w:type="fixed"/>
        <w:tblLook w:firstRow="0" w:lastRow="0" w:firstColumn="0" w:lastColumn="0" w:noHBand="0" w:noVBand="0" w:val="0000"/>
      </w:tblPr>
      <w:tblGrid>
        <w:gridCol w:w="7920"/>
      </w:tblGrid>
      <w:tr>
        <w:tc>
          <w:tcPr/>
          <w:bookmarkStart w:id="33" w:name="fig-topics"/>
          <w:p>
            <w:pPr>
              <w:pStyle w:val="Compact"/>
              <w:jc w:val="center"/>
            </w:pPr>
            <w:r>
              <w:drawing>
                <wp:inline>
                  <wp:extent cx="5067300" cy="4053840"/>
                  <wp:effectExtent b="0" l="0" r="0" t="0"/>
                  <wp:docPr descr="" title="" id="31" name="Picture"/>
                  <a:graphic>
                    <a:graphicData uri="http://schemas.openxmlformats.org/drawingml/2006/picture">
                      <pic:pic>
                        <pic:nvPicPr>
                          <pic:cNvPr descr="../output/factsheet/figures/fig14_topic_prevalence.png" id="32" name="Picture"/>
                          <pic:cNvPicPr>
                            <a:picLocks noChangeArrowheads="1" noChangeAspect="1"/>
                          </pic:cNvPicPr>
                        </pic:nvPicPr>
                        <pic:blipFill>
                          <a:blip r:embed="rId30"/>
                          <a:stretch>
                            <a:fillRect/>
                          </a:stretch>
                        </pic:blipFill>
                        <pic:spPr bwMode="auto">
                          <a:xfrm>
                            <a:off x="0" y="0"/>
                            <a:ext cx="5067300" cy="405384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Note: NMF topic prevalence — project count by topic and energy category.</w:t>
            </w:r>
          </w:p>
          <w:bookmarkEnd w:id="33"/>
        </w:tc>
      </w:tr>
    </w:tbl>
    <w:p>
      <w:pPr>
        <w:pStyle w:val="BodyText"/>
      </w:pPr>
      <w:r>
        <w:t xml:space="preserve">The four-topic structure is validated rather than assumed.</w:t>
      </w:r>
      <w:r>
        <w:t xml:space="preserve"> </w:t>
      </w:r>
      <w:hyperlink w:anchor="fig-elbow">
        <w:r>
          <w:rPr>
            <w:rStyle w:val="Hyperlink"/>
          </w:rPr>
          <w:t xml:space="preserve">Figure 5</w:t>
        </w:r>
      </w:hyperlink>
      <w:r>
        <w:t xml:space="preserve"> </w:t>
      </w:r>
      <w:r>
        <w:t xml:space="preserve">plots model fit against the number of topics: reconstruction error improves sharply up to four topics and flatlines beyond, and added topics receive zero project assignments. Collapsing to three would merge the two distinct VRM subtopics (applied solar contrast rating vs. formal O&amp;G landscape-management compliance).</w:t>
      </w:r>
    </w:p>
    <w:tbl>
      <w:tblPr>
        <w:tblStyle w:val="Table"/>
        <w:tblW w:type="pct" w:w="5000"/>
        <w:tblLayout w:type="fixed"/>
        <w:tblLook w:firstRow="0" w:lastRow="0" w:firstColumn="0" w:lastColumn="0" w:noHBand="0" w:noVBand="0" w:val="0000"/>
      </w:tblPr>
      <w:tblGrid>
        <w:gridCol w:w="7920"/>
      </w:tblGrid>
      <w:tr>
        <w:tc>
          <w:tcPr/>
          <w:bookmarkStart w:id="37" w:name="fig-elbow"/>
          <w:p>
            <w:pPr>
              <w:pStyle w:val="Compact"/>
              <w:jc w:val="center"/>
            </w:pPr>
            <w:r>
              <w:drawing>
                <wp:inline>
                  <wp:extent cx="4533900" cy="2833687"/>
                  <wp:effectExtent b="0" l="0" r="0" t="0"/>
                  <wp:docPr descr="" title="" id="35" name="Picture"/>
                  <a:graphic>
                    <a:graphicData uri="http://schemas.openxmlformats.org/drawingml/2006/picture">
                      <pic:pic>
                        <pic:nvPicPr>
                          <pic:cNvPr descr="../output/factsheet/figures/fig14d_nmf_elbow.png" id="36" name="Picture"/>
                          <pic:cNvPicPr>
                            <a:picLocks noChangeArrowheads="1" noChangeAspect="1"/>
                          </pic:cNvPicPr>
                        </pic:nvPicPr>
                        <pic:blipFill>
                          <a:blip r:embed="rId34"/>
                          <a:stretch>
                            <a:fillRect/>
                          </a:stretch>
                        </pic:blipFill>
                        <pic:spPr bwMode="auto">
                          <a:xfrm>
                            <a:off x="0" y="0"/>
                            <a:ext cx="4533900" cy="283368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Note: Topic-count validation — normalized reconstruction error by number of topics; dotted line marks the chosen k = 4.</w:t>
            </w:r>
          </w:p>
          <w:bookmarkEnd w:id="37"/>
        </w:tc>
      </w:tr>
    </w:tbl>
    <w:bookmarkEnd w:id="38"/>
    <w:bookmarkEnd w:id="39"/>
    <w:bookmarkStart w:id="40" w:name="conclusion"/>
    <w:p>
      <w:pPr>
        <w:pStyle w:val="Heading1"/>
      </w:pPr>
      <w:r>
        <w:t xml:space="preserve">Conclusion</w:t>
      </w:r>
    </w:p>
    <w:p>
      <w:pPr>
        <w:pStyle w:val="FirstParagraph"/>
      </w:pPr>
      <w:r>
        <w:rPr>
          <w:b/>
          <w:bCs/>
        </w:rPr>
        <w:t xml:space="preserve">Visual impact concerns exist across technologies.</w:t>
      </w:r>
      <w:r>
        <w:t xml:space="preserve"> </w:t>
      </w:r>
      <w:r>
        <w:t xml:space="preserve">They are not a renewables problem or a fossil problem: the largest visual-impact theme spans both portfolios, and every energy technology with a landscape footprint draws visual analysis.</w:t>
      </w:r>
    </w:p>
    <w:p>
      <w:pPr>
        <w:pStyle w:val="BodyText"/>
      </w:pPr>
      <w:r>
        <w:rPr>
          <w:b/>
          <w:bCs/>
        </w:rPr>
        <w:t xml:space="preserve">The specific concerns, and their intensity, vary by technology and regulatory setting.</w:t>
      </w:r>
      <w:r>
        <w:t xml:space="preserve"> </w:t>
      </w:r>
      <w:r>
        <w:t xml:space="preserve">Industrial and infrastructure corridors lead the list corpus-wide; shadow flicker is a highly concentrated, quantified, wind-specific concern; solar carries glare and contrast-rating analysis; oil and gas carries formal VRM compliance on public land. Framing differences between portfolios reflect drafting regimes more than differential harm.</w:t>
      </w:r>
    </w:p>
    <w:p>
      <w:pPr>
        <w:pStyle w:val="BodyText"/>
      </w:pPr>
      <w:r>
        <w:rPr>
          <w:b/>
          <w:bCs/>
        </w:rPr>
        <w:t xml:space="preserve">Developers should take visual concerns seriously and mitigate by design.</w:t>
      </w:r>
      <w:r>
        <w:t xml:space="preserve"> </w:t>
      </w:r>
      <w:r>
        <w:t xml:space="preserve">The record shows these analyses are routine, the concerns are predictable by technology, and the most credible documents pair honest acknowledgment of adverse effects with specific, verifiable commitments — anti-reflective surfaces, screening, color treatments, siting within existing corridors. Anticipating the visual analysis rather than litigating it afterward is both good practice and, on this evidence, the norm the strongest documents already follow.</w:t>
      </w:r>
    </w:p>
    <w:p>
      <w:r>
        <w:pict>
          <v:rect style="width:0;height:1.5pt" o:hralign="center" o:hrstd="t" o:hr="t"/>
        </w:pict>
      </w:r>
    </w:p>
    <w:p>
      <w:pPr>
        <w:pStyle w:val="FirstParagraph"/>
      </w:pPr>
      <w:r>
        <w:rPr>
          <w:i/>
          <w:iCs/>
        </w:rPr>
        <w:t xml:space="preserve">Data: NEPATEC 2.0 — visual-resource sections from 1,591 of ~2,900 EA/EIS projects. Methods and full results:</w:t>
      </w:r>
      <w:r>
        <w:rPr>
          <w:i/>
          <w:iCs/>
        </w:rPr>
        <w:t xml:space="preserve"> </w:t>
      </w:r>
      <w:hyperlink r:id="rId14">
        <w:r>
          <w:rPr>
            <w:rStyle w:val="Hyperlink"/>
            <w:i/>
            <w:iCs/>
          </w:rPr>
          <w:t xml:space="preserve">Phase 2 Deliverable 3</w:t>
        </w:r>
      </w:hyperlink>
      <w:r>
        <w:rPr>
          <w:i/>
          <w:iCs/>
        </w:rPr>
        <w:t xml:space="preserv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1216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12169"/>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47BB"/>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pPr>
    <w:rPr>
      <w:rFonts w:asciiTheme="majorHAnsi" w:cstheme="majorBidi" w:eastAsiaTheme="majorEastAsia" w:hAnsiTheme="majorHAnsi"/>
      <w:bCs/>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hyperlink" Id="rId14" Target="https://www.kaseyzapatka.com/nepa/phase2/reports/deliverable03.html" TargetMode="External" /></Relationships>
</file>

<file path=word/_rels/footnotes.xml.rels><?xml version="1.0" encoding="UTF-8"?><Relationships xmlns="http://schemas.openxmlformats.org/package/2006/relationships"><Relationship Type="http://schemas.openxmlformats.org/officeDocument/2006/relationships/hyperlink" Id="rId14" Target="https://www.kaseyzapatka.com/nepa/phase2/reports/deliverable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NEPA Reviews Talk About Visual Impacts</dc:title>
  <dc:creator/>
  <cp:keywords/>
  <dcterms:created xsi:type="dcterms:W3CDTF">2026-08-01T05:32:14Z</dcterms:created>
  <dcterms:modified xsi:type="dcterms:W3CDTF">2026-08-01T05:32:14Z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July 31, 2026</vt:lpwstr>
  </property>
  <property fmtid="{D5CDD505-2E9C-101B-9397-08002B2CF9AE}" pid="4" name="date-format">
    <vt:lpwstr>long</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NEPA by the Numbers — Fact Sheet 4: Visual Impacts</vt:lpwstr>
  </property>
  <property fmtid="{D5CDD505-2E9C-101B-9397-08002B2CF9AE}" pid="12" name="toc-title">
    <vt:lpwstr>Table of contents</vt:lpwstr>
  </property>
</Properties>
</file>