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34.png" ContentType="image/png"/>
  <Override PartName="/word/media/rId44.png" ContentType="image/png"/>
  <Override PartName="/word/media/rId49.png" ContentType="image/png"/>
  <Override PartName="/word/media/rId39.png" ContentType="image/png"/>
  <Override PartName="/word/media/rId2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Triggers</w:t>
      </w:r>
      <w:r>
        <w:t xml:space="preserve"> </w:t>
      </w:r>
      <w:r>
        <w:t xml:space="preserve">NEPA</w:t>
      </w:r>
      <w:r>
        <w:t xml:space="preserve"> </w:t>
      </w:r>
      <w:r>
        <w:t xml:space="preserve">Review</w:t>
      </w:r>
      <w:r>
        <w:t xml:space="preserve"> </w:t>
      </w:r>
      <w:r>
        <w:t xml:space="preserve">for</w:t>
      </w:r>
      <w:r>
        <w:t xml:space="preserve"> </w:t>
      </w:r>
      <w:r>
        <w:t xml:space="preserve">Decarbonization</w:t>
      </w:r>
      <w:r>
        <w:t xml:space="preserve"> </w:t>
      </w:r>
      <w:r>
        <w:t xml:space="preserve">Projects?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2:</w:t>
      </w:r>
      <w:r>
        <w:t xml:space="preserve"> </w:t>
      </w:r>
      <w:r>
        <w:t xml:space="preserve">The</w:t>
      </w:r>
      <w:r>
        <w:t xml:space="preserve"> </w:t>
      </w:r>
      <w:r>
        <w:t xml:space="preserve">Federal</w:t>
      </w:r>
      <w:r>
        <w:t xml:space="preserve"> </w:t>
      </w:r>
      <w:r>
        <w:t xml:space="preserve">Nexus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Federal funding is the dominant NEPA trigger for decarbonization projects</w:t>
            </w:r>
            <w:r>
              <w:t xml:space="preserve"> </w:t>
            </w:r>
            <w:r>
              <w:t xml:space="preserve">— 9,125 of 20,725 projects (44.0%). DOE’s grant and loan portfolio generates more decarbonization NEPA reviews than any other federal nexus.</w:t>
            </w:r>
          </w:p>
          <w:p>
            <w:pPr>
              <w:numPr>
                <w:ilvl w:val="0"/>
                <w:numId w:val="1001"/>
              </w:numPr>
              <w:pStyle w:val="Compact"/>
            </w:pPr>
            <w:r>
              <w:rPr>
                <w:bCs/>
                <w:b/>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numPr>
                <w:ilvl w:val="0"/>
                <w:numId w:val="1001"/>
              </w:numPr>
              <w:pStyle w:val="Compact"/>
            </w:pPr>
            <w:r>
              <w:rPr>
                <w:bCs/>
                <w:b/>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numPr>
                <w:ilvl w:val="0"/>
                <w:numId w:val="1001"/>
              </w:numPr>
              <w:pStyle w:val="Compact"/>
            </w:pPr>
            <w:r>
              <w:rPr>
                <w:bCs/>
                <w:b/>
              </w:rPr>
              <w:t xml:space="preserve">Trigger patterns follow institutional logic</w:t>
            </w:r>
            <w:r>
              <w:t xml:space="preserve">: transmission projects skew toward the federal power marketing administrations, solar and wind split between BLM land and DOE funding, and emerging technologies (storage, CCS) are funding-driven.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Multiple NEPA reform proposals would narrow the</w:t>
      </w:r>
      <w:r>
        <w:t xml:space="preserve"> </w:t>
      </w:r>
      <w:r>
        <w:rPr>
          <w:iCs/>
          <w:i/>
        </w:rPr>
        <w:t xml:space="preserve">scope</w:t>
      </w:r>
      <w:r>
        <w:t xml:space="preserve"> </w:t>
      </w:r>
      <w:r>
        <w:t xml:space="preserve">of what triggers federal environmental review — most prominently, proposals to exempt federal financial assistance (grants and loans) from the definition of a</w:t>
      </w:r>
      <w:r>
        <w:t xml:space="preserve"> </w:t>
      </w:r>
      <w:r>
        <w:t xml:space="preserve">“</w:t>
      </w:r>
      <w:r>
        <w:t xml:space="preserve">major federal action.</w:t>
      </w:r>
      <w:r>
        <w:t xml:space="preserve">”</w:t>
      </w:r>
      <w:r>
        <w:t xml:space="preserve"> </w:t>
      </w:r>
      <w:r>
        <w:t xml:space="preserve">Yet to our knowledge there has been no prior systematic accounting of</w:t>
      </w:r>
      <w:r>
        <w:t xml:space="preserve"> </w:t>
      </w:r>
      <w:r>
        <w:rPr>
          <w:bCs/>
          <w:b/>
        </w:rPr>
        <w:t xml:space="preserve">how many reviews each kind of federal nexus actually generates</w:t>
      </w:r>
      <w:r>
        <w:t xml:space="preserve">, or what level of review those triggered actions receive. Without that baseline, it is impossible to say what a scope-narrowing reform would actually exempt.</w:t>
      </w:r>
    </w:p>
    <w:p>
      <w:pPr>
        <w:pStyle w:val="BodyText"/>
      </w:pPr>
      <w:r>
        <w:t xml:space="preserve">This fact sheet provides that accounting for the decarbonization portfolio: for each of 20,725 decarbonization projects in NEPATEC 2.0, we classify</w:t>
      </w:r>
      <w:r>
        <w:t xml:space="preserve"> </w:t>
      </w:r>
      <w:r>
        <w:rPr>
          <w:iCs/>
          <w:i/>
        </w:rPr>
        <w:t xml:space="preserve">why</w:t>
      </w:r>
      <w:r>
        <w:t xml:space="preserve"> </w:t>
      </w:r>
      <w:r>
        <w:t xml:space="preserve">NEPA applied — the federal hook that brought the project into environmental review.</w:t>
      </w:r>
    </w:p>
    <w:bookmarkEnd w:id="24"/>
    <w:bookmarkStart w:id="28" w:name="methodology"/>
    <w:p>
      <w:pPr>
        <w:pStyle w:val="Heading1"/>
      </w:pPr>
      <w:r>
        <w:t xml:space="preserve">Methodology</w:t>
      </w:r>
    </w:p>
    <w:bookmarkStart w:id="25" w:name="scope-and-trigger-definitions"/>
    <w:p>
      <w:pPr>
        <w:pStyle w:val="Heading2"/>
      </w:pPr>
      <w:r>
        <w:t xml:space="preserve">Scope and trigger definitions</w:t>
      </w:r>
    </w:p>
    <w:p>
      <w:pPr>
        <w:pStyle w:val="FirstParagraph"/>
      </w:pPr>
      <w:r>
        <w:t xml:space="preserve">The analysis covers all 20,725 decarbonization projects in NEPATEC 2.0. Each is assigned one</w:t>
      </w:r>
      <w:r>
        <w:t xml:space="preserve"> </w:t>
      </w:r>
      <w:r>
        <w:rPr>
          <w:bCs/>
          <w:b/>
        </w:rPr>
        <w:t xml:space="preserve">primary trigger</w:t>
      </w:r>
      <w:r>
        <w:t xml:space="preserve"> </w:t>
      </w:r>
      <w:r>
        <w:t xml:space="preserve">— the federal nexus that brought it under NEPA:</w:t>
      </w:r>
    </w:p>
    <w:tbl>
      <w:tblPr>
        <w:tblStyle w:val="Table"/>
        <w:tblW w:type="pct" w:w="5000"/>
        <w:tblLook w:firstRow="1" w:lastRow="0" w:firstColumn="0" w:lastColumn="0" w:noHBand="0" w:noVBand="0" w:val="0020"/>
        <w:jc w:val="start"/>
      </w:tblPr>
      <w:tblGrid>
        <w:gridCol w:w="2880"/>
        <w:gridCol w:w="5040"/>
      </w:tblGrid>
      <w:tr>
        <w:trPr>
          <w:tblHeader w:val="true"/>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Cs/>
                <w:b/>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Cs/>
                <w:b/>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Cs/>
                <w:b/>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Cs/>
                <w:b/>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Cs/>
                <w:b/>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Cs/>
                <w:b/>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Cs/>
                <w:b/>
              </w:rPr>
              <w:t xml:space="preserve">Property Transaction</w:t>
            </w:r>
          </w:p>
        </w:tc>
        <w:tc>
          <w:tcPr/>
          <w:p>
            <w:pPr>
              <w:pStyle w:val="Compact"/>
              <w:jc w:val="left"/>
            </w:pPr>
            <w:r>
              <w:t xml:space="preserve">A land exchange, disposal, or conveyance of federal property</w:t>
            </w:r>
          </w:p>
        </w:tc>
      </w:tr>
    </w:tbl>
    <w:bookmarkEnd w:id="25"/>
    <w:bookmarkStart w:id="27"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20,225 of 20,725 projects (97.6%); the remaining 2.4%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26">
        <w:r>
          <w:rPr>
            <w:rStyle w:val="Hyperlink"/>
          </w:rPr>
          <w:t xml:space="preserve">Phase 2 Deliverable 1 report</w:t>
        </w:r>
      </w:hyperlink>
      <w:r>
        <w:t xml:space="preserve">.</w:t>
      </w:r>
    </w:p>
    <w:bookmarkEnd w:id="27"/>
    <w:bookmarkEnd w:id="28"/>
    <w:bookmarkStart w:id="59" w:name="results"/>
    <w:p>
      <w:pPr>
        <w:pStyle w:val="Heading1"/>
      </w:pPr>
      <w:r>
        <w:t xml:space="preserve">Results</w:t>
      </w:r>
    </w:p>
    <w:bookmarkStart w:id="33" w:name="Xc6b8d2dff03890bc2f33874cabfaea9bb7183a4"/>
    <w:p>
      <w:pPr>
        <w:pStyle w:val="Heading2"/>
      </w:pPr>
      <w:r>
        <w:t xml:space="preserve">Funding dominates the trigger distribution</w:t>
      </w:r>
    </w:p>
    <w:p>
      <w:pPr>
        <w:pStyle w:val="FirstParagraph"/>
      </w:pPr>
      <w:r>
        <w:t xml:space="preserve">Nearly half of all decarbonization NEPA reviews exist because a federal agency provided money.</w:t>
      </w:r>
      <w:r>
        <w:t xml:space="preserve"> </w:t>
      </w:r>
      <w:r>
        <w:rPr>
          <w:bCs/>
          <w:b/>
        </w:rPr>
        <w:t xml:space="preserve">Land</w:t>
      </w:r>
      <w:r>
        <w:t xml:space="preserve"> </w:t>
      </w:r>
      <w:r>
        <w:t xml:space="preserve">is second (17.7%) — utility-scale renewables on BLM and National Forest land — followed by</w:t>
      </w:r>
      <w:r>
        <w:t xml:space="preserve"> </w:t>
      </w:r>
      <w:r>
        <w:rPr>
          <w:bCs/>
          <w:b/>
        </w:rPr>
        <w:t xml:space="preserve">PMA/TVA</w:t>
      </w:r>
      <w:r>
        <w:t xml:space="preserve"> </w:t>
      </w:r>
      <w:r>
        <w:t xml:space="preserve">(17.0%) and</w:t>
      </w:r>
      <w:r>
        <w:t xml:space="preserve"> </w:t>
      </w:r>
      <w:r>
        <w:rPr>
          <w:bCs/>
          <w:b/>
        </w:rPr>
        <w:t xml:space="preserve">Direct Action</w:t>
      </w:r>
      <w:r>
        <w:t xml:space="preserve"> </w:t>
      </w:r>
      <w:r>
        <w:t xml:space="preserve">(14.9%, dominated by DOE’s own facilities and laboratories).</w:t>
      </w:r>
    </w:p>
    <w:tbl>
      <w:tblPr>
        <w:tblStyle w:val="Table"/>
        <w:tblW w:type="pct" w:w="5000"/>
        <w:tblLook w:firstRow="0" w:lastRow="0" w:firstColumn="0" w:lastColumn="0" w:noHBand="0" w:noVBand="0" w:val="0000"/>
        <w:jc w:val="start"/>
      </w:tblPr>
      <w:tblGrid>
        <w:gridCol w:w="7920"/>
      </w:tblGrid>
      <w:tr>
        <w:tc>
          <w:tcPr/>
          <w:bookmarkStart w:id="32" w:name="fig-trigger-counts"/>
          <w:p>
            <w:pPr>
              <w:jc w:val="center"/>
            </w:pPr>
            <w:r>
              <w:drawing>
                <wp:inline>
                  <wp:extent cx="5067300" cy="2787015"/>
                  <wp:effectExtent b="0" l="0" r="0" t="0"/>
                  <wp:docPr descr="" title="" id="30" name="Picture"/>
                  <a:graphic>
                    <a:graphicData uri="http://schemas.openxmlformats.org/drawingml/2006/picture">
                      <pic:pic>
                        <pic:nvPicPr>
                          <pic:cNvPr descr="../output/factsheet/figures/fs2_trigger_counts.png" id="31" name="Picture"/>
                          <pic:cNvPicPr>
                            <a:picLocks noChangeArrowheads="1" noChangeAspect="1"/>
                          </pic:cNvPicPr>
                        </pic:nvPicPr>
                        <pic:blipFill>
                          <a:blip r:embed="rId2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Primary NEPA trigger across all decarbonization projects in NEPATEC 2.0.</w:t>
            </w:r>
          </w:p>
          <w:bookmarkEnd w:id="32"/>
        </w:tc>
      </w:tr>
    </w:tbl>
    <w:bookmarkEnd w:id="33"/>
    <w:bookmarkStart w:id="38" w:name="trigger-type-by-review-process"/>
    <w:p>
      <w:pPr>
        <w:pStyle w:val="Heading2"/>
      </w:pPr>
      <w:r>
        <w:t xml:space="preserve">Trigger type by review process</w:t>
      </w:r>
    </w:p>
    <w:p>
      <w:pPr>
        <w:pStyle w:val="FirstParagraph"/>
      </w:pPr>
      <w:r>
        <w:t xml:space="preserve">The three review processes have sharply different trigger profiles. CEs are dominated by funding — DOE’s clean energy grant and loan programs generate an enormous volume of low-complexity actions. EAs show the most balanced mix. EISs skew toward land, PMA/TVA, and permits: the larger, more contested projects tend to be sited on public land, federally built, or federally licensed.</w:t>
      </w:r>
    </w:p>
    <w:tbl>
      <w:tblPr>
        <w:tblStyle w:val="Table"/>
        <w:tblW w:type="pct" w:w="5000"/>
        <w:tblLook w:firstRow="0" w:lastRow="0" w:firstColumn="0" w:lastColumn="0" w:noHBand="0" w:noVBand="0" w:val="0000"/>
        <w:jc w:val="start"/>
      </w:tblPr>
      <w:tblGrid>
        <w:gridCol w:w="7920"/>
      </w:tblGrid>
      <w:tr>
        <w:tc>
          <w:tcPr/>
          <w:bookmarkStart w:id="37" w:name="fig-trigger-by-process"/>
          <w:p>
            <w:pPr>
              <w:jc w:val="center"/>
            </w:pPr>
            <w:r>
              <w:drawing>
                <wp:inline>
                  <wp:extent cx="4800600" cy="3900487"/>
                  <wp:effectExtent b="0" l="0" r="0" t="0"/>
                  <wp:docPr descr="" title="" id="35" name="Picture"/>
                  <a:graphic>
                    <a:graphicData uri="http://schemas.openxmlformats.org/drawingml/2006/picture">
                      <pic:pic>
                        <pic:nvPicPr>
                          <pic:cNvPr descr="../output/factsheet/figures/fig2_trigger_by_process.png" id="36" name="Picture"/>
                          <pic:cNvPicPr>
                            <a:picLocks noChangeArrowheads="1" noChangeAspect="1"/>
                          </pic:cNvPicPr>
                        </pic:nvPicPr>
                        <pic:blipFill>
                          <a:blip r:embed="rId34"/>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Primary NEPA trigger composition within each review process (decarbonization projects). Percentage labels shown for segments &gt; 5%.</w:t>
            </w:r>
          </w:p>
          <w:bookmarkEnd w:id="37"/>
        </w:tc>
      </w:tr>
    </w:tbl>
    <w:bookmarkEnd w:id="38"/>
    <w:bookmarkStart w:id="43" w:name="X8348e00bfdab1c9c7dcd36664a120b9131fa3a1"/>
    <w:p>
      <w:pPr>
        <w:pStyle w:val="Heading2"/>
      </w:pPr>
      <w:r>
        <w:t xml:space="preserve">What review pathway does each trigger produce?</w:t>
      </w:r>
    </w:p>
    <w:p>
      <w:pPr>
        <w:pStyle w:val="FirstParagraph"/>
      </w:pPr>
      <w:r>
        <w:t xml:space="preserve">Inverting the view reveals the finding with the most policy weight:</w:t>
      </w:r>
      <w:r>
        <w:t xml:space="preserve"> </w:t>
      </w:r>
      <w:r>
        <w:rPr>
          <w:bCs/>
          <w:b/>
        </w:rPr>
        <w:t xml:space="preserve">trigger class predicts regulatory intensity.</w:t>
      </w:r>
      <w:r>
        <w:t xml:space="preserve"> </w:t>
      </w:r>
      <w:r>
        <w:t xml:space="preserve">Funding-triggered projects are 99% CEs. Land- and permit-triggered projects generate substantially more EAs and EISs — 12% and 36% respectively.</w:t>
      </w:r>
    </w:p>
    <w:tbl>
      <w:tblPr>
        <w:tblStyle w:val="Table"/>
        <w:tblW w:type="pct" w:w="5000"/>
        <w:tblLook w:firstRow="0" w:lastRow="0" w:firstColumn="0" w:lastColumn="0" w:noHBand="0" w:noVBand="0" w:val="0000"/>
        <w:jc w:val="start"/>
      </w:tblPr>
      <w:tblGrid>
        <w:gridCol w:w="7920"/>
      </w:tblGrid>
      <w:tr>
        <w:tc>
          <w:tcPr/>
          <w:bookmarkStart w:id="42" w:name="fig-process-by-trigger"/>
          <w:p>
            <w:pPr>
              <w:jc w:val="center"/>
            </w:pPr>
            <w:r>
              <w:drawing>
                <wp:inline>
                  <wp:extent cx="5067300" cy="2787015"/>
                  <wp:effectExtent b="0" l="0" r="0" t="0"/>
                  <wp:docPr descr="" title="" id="40" name="Picture"/>
                  <a:graphic>
                    <a:graphicData uri="http://schemas.openxmlformats.org/drawingml/2006/picture">
                      <pic:pic>
                        <pic:nvPicPr>
                          <pic:cNvPr descr="../output/factsheet/figures/fs2_process_by_trigger.png" id="41" name="Picture"/>
                          <pic:cNvPicPr>
                            <a:picLocks noChangeArrowheads="1" noChangeAspect="1"/>
                          </pic:cNvPicPr>
                        </pic:nvPicPr>
                        <pic:blipFill>
                          <a:blip r:embed="rId3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Share of CE, EA, and EIS reviews within each primary trigger class (decarbonization projects; Unknown omitted). Right-side labels show total projects.</w:t>
            </w:r>
          </w:p>
          <w:bookmarkEnd w:id="42"/>
        </w:tc>
      </w:tr>
    </w:tbl>
    <w:bookmarkEnd w:id="43"/>
    <w:bookmarkStart w:id="48" w:name="trigger-by-department"/>
    <w:p>
      <w:pPr>
        <w:pStyle w:val="Heading2"/>
      </w:pPr>
      <w:r>
        <w:t xml:space="preserve">Trigger by department</w:t>
      </w:r>
    </w:p>
    <w:p>
      <w:pPr>
        <w:pStyle w:val="FirstParagraph"/>
      </w:pPr>
      <w:r>
        <w:t xml:space="preserve">Department patterns follow jurisdiction: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ook w:firstRow="0" w:lastRow="0" w:firstColumn="0" w:lastColumn="0" w:noHBand="0" w:noVBand="0" w:val="0000"/>
        <w:jc w:val="start"/>
      </w:tblPr>
      <w:tblGrid>
        <w:gridCol w:w="7920"/>
      </w:tblGrid>
      <w:tr>
        <w:tc>
          <w:tcPr/>
          <w:bookmarkStart w:id="47" w:name="fig-dept"/>
          <w:p>
            <w:pPr>
              <w:jc w:val="center"/>
            </w:pPr>
            <w:r>
              <w:drawing>
                <wp:inline>
                  <wp:extent cx="5334000" cy="2872153"/>
                  <wp:effectExtent b="0" l="0" r="0" t="0"/>
                  <wp:docPr descr="" title="" id="45" name="Picture"/>
                  <a:graphic>
                    <a:graphicData uri="http://schemas.openxmlformats.org/drawingml/2006/picture">
                      <pic:pic>
                        <pic:nvPicPr>
                          <pic:cNvPr descr="../output/factsheet/figures/fig4_department_trigger_heatmap.png" id="46" name="Picture"/>
                          <pic:cNvPicPr>
                            <a:picLocks noChangeArrowheads="1" noChangeAspect="1"/>
                          </pic:cNvPicPr>
                        </pic:nvPicPr>
                        <pic:blipFill>
                          <a:blip r:embed="rId44"/>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NEPA trigger distribution by federal parent department. Each row sums to 100%.</w:t>
            </w:r>
          </w:p>
          <w:bookmarkEnd w:id="47"/>
        </w:tc>
      </w:tr>
    </w:tbl>
    <w:bookmarkEnd w:id="48"/>
    <w:bookmarkStart w:id="53" w:name="trigger-by-energy-technology"/>
    <w:p>
      <w:pPr>
        <w:pStyle w:val="Heading2"/>
      </w:pPr>
      <w:r>
        <w:t xml:space="preserve">Trigger by energy technology</w:t>
      </w:r>
    </w:p>
    <w:p>
      <w:pPr>
        <w:pStyle w:val="FirstParagraph"/>
      </w:pPr>
      <w:r>
        <w:t xml:space="preserve">Technology patterns reflect the same nexus logic. Solar and onshore wind split between land (BLM rights-of-way) and funding (DOE grants). Transmission has the highest PMA/TVA share — BPA and WAPA build and maintain federal lines. Carbon capture and energy storage skew heavily toward funding, reflecting DOE’s grant programs for emerging technologies. Hydropower is distinctive for its permit share (FERC licensing of non-federal dams).</w:t>
      </w:r>
    </w:p>
    <w:tbl>
      <w:tblPr>
        <w:tblStyle w:val="Table"/>
        <w:tblW w:type="pct" w:w="5000"/>
        <w:tblLook w:firstRow="0" w:lastRow="0" w:firstColumn="0" w:lastColumn="0" w:noHBand="0" w:noVBand="0" w:val="0000"/>
        <w:jc w:val="start"/>
      </w:tblPr>
      <w:tblGrid>
        <w:gridCol w:w="7920"/>
      </w:tblGrid>
      <w:tr>
        <w:tc>
          <w:tcPr/>
          <w:bookmarkStart w:id="52" w:name="fig-tech"/>
          <w:p>
            <w:pPr>
              <w:jc w:val="center"/>
            </w:pPr>
            <w:r>
              <w:drawing>
                <wp:inline>
                  <wp:extent cx="5334000" cy="3151909"/>
                  <wp:effectExtent b="0" l="0" r="0" t="0"/>
                  <wp:docPr descr="" title="" id="50" name="Picture"/>
                  <a:graphic>
                    <a:graphicData uri="http://schemas.openxmlformats.org/drawingml/2006/picture">
                      <pic:pic>
                        <pic:nvPicPr>
                          <pic:cNvPr descr="../output/factsheet/figures/fig5_trigger_by_technology.png" id="51" name="Picture"/>
                          <pic:cNvPicPr>
                            <a:picLocks noChangeArrowheads="1" noChangeAspect="1"/>
                          </pic:cNvPicPr>
                        </pic:nvPicPr>
                        <pic:blipFill>
                          <a:blip r:embed="rId49"/>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Primary NEPA trigger by energy technology (technologies with at least 50 projects). Right-side labels show total projects.</w:t>
            </w:r>
          </w:p>
          <w:bookmarkEnd w:id="52"/>
        </w:tc>
      </w:tr>
    </w:tbl>
    <w:bookmarkEnd w:id="53"/>
    <w:bookmarkStart w:id="58" w:name="how-much-federal-money-is-involved"/>
    <w:p>
      <w:pPr>
        <w:pStyle w:val="Heading2"/>
      </w:pPr>
      <w:r>
        <w:t xml:space="preserve">How much federal money is involved?</w:t>
      </w:r>
    </w:p>
    <w:p>
      <w:pPr>
        <w:pStyle w:val="FirstParagraph"/>
      </w:pPr>
      <w:r>
        <w:t xml:space="preserve">For funding-triggered projects, we also extracted the dollar amounts where documents state them.</w:t>
      </w:r>
      <w:r>
        <w:t xml:space="preserve"> </w:t>
      </w:r>
      <w:r>
        <w:rPr>
          <w:bCs/>
          <w:b/>
        </w:rPr>
        <w:t xml:space="preserve">An important caveat: most NEPA documents do not report an award figure</w:t>
      </w:r>
      <w:r>
        <w:t xml:space="preserve"> </w:t>
      </w:r>
      <w:r>
        <w:t xml:space="preserve">— only a fraction of funding-triggered reviews contain an extractable amount, so the distribution below 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ook w:firstRow="0" w:lastRow="0" w:firstColumn="0" w:lastColumn="0" w:noHBand="0" w:noVBand="0" w:val="0000"/>
        <w:jc w:val="start"/>
      </w:tblPr>
      <w:tblGrid>
        <w:gridCol w:w="7920"/>
      </w:tblGrid>
      <w:tr>
        <w:tc>
          <w:tcPr/>
          <w:bookmarkStart w:id="57" w:name="fig-funding-amounts"/>
          <w:p>
            <w:pPr>
              <w:jc w:val="center"/>
            </w:pPr>
            <w:r>
              <w:drawing>
                <wp:inline>
                  <wp:extent cx="5067300" cy="2799080"/>
                  <wp:effectExtent b="0" l="0" r="0" t="0"/>
                  <wp:docPr descr="" title="" id="55" name="Picture"/>
                  <a:graphic>
                    <a:graphicData uri="http://schemas.openxmlformats.org/drawingml/2006/picture">
                      <pic:pic>
                        <pic:nvPicPr>
                          <pic:cNvPr descr="../output/factsheet/figures/fig11_funding_amount_distribution.png" id="56" name="Picture"/>
                          <pic:cNvPicPr>
                            <a:picLocks noChangeArrowheads="1" noChangeAspect="1"/>
                          </pic:cNvPicPr>
                        </pic:nvPicPr>
                        <pic:blipFill>
                          <a:blip r:embed="rId54"/>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57"/>
        </w:tc>
      </w:tr>
    </w:tbl>
    <w:bookmarkEnd w:id="58"/>
    <w:bookmarkEnd w:id="59"/>
    <w:bookmarkStart w:id="60" w:name="conclusion-and-policy-implications"/>
    <w:p>
      <w:pPr>
        <w:pStyle w:val="Heading1"/>
      </w:pPr>
      <w:r>
        <w:t xml:space="preserve">Conclusion and Policy Implications</w:t>
      </w:r>
    </w:p>
    <w:p>
      <w:pPr>
        <w:pStyle w:val="FirstParagraph"/>
      </w:pPr>
      <w:r>
        <w:rPr>
          <w:bCs/>
          <w:b/>
        </w:rPr>
        <w:t xml:space="preserve">Nearly half of all decarbonization NEPA reviews are triggered by federal funding — but those reviews are almost entirely categorically excluded (99%).</w:t>
      </w:r>
      <w:r>
        <w:t xml:space="preserve"> </w:t>
      </w:r>
      <w:r>
        <w:t xml:space="preserve">A reform that exempted federal financial assistance from NEPA would therefore remove a large</w:t>
      </w:r>
      <w:r>
        <w:t xml:space="preserve"> </w:t>
      </w:r>
      <w:r>
        <w:rPr>
          <w:iCs/>
          <w:i/>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a newfound burst of speed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r>
        <w:pict>
          <v:rect style="width:0;height:1.5pt" o:hralign="center" o:hrstd="t" o:hr="t"/>
        </w:pict>
      </w:r>
    </w:p>
    <w:p>
      <w:pPr>
        <w:pStyle w:val="FirstParagraph"/>
      </w:pPr>
      <w:r>
        <w:rPr>
          <w:iCs/>
          <w:i/>
        </w:rPr>
        <w:t xml:space="preserve">Data: NEPATEC 2.0, 20,725 decarbonization projects. Methods and full results:</w:t>
      </w:r>
      <w:r>
        <w:rPr>
          <w:iCs/>
          <w:i/>
        </w:rPr>
        <w:t xml:space="preserve"> </w:t>
      </w:r>
      <w:hyperlink r:id="rId26">
        <w:r>
          <w:rPr>
            <w:rStyle w:val="Hyperlink"/>
            <w:iCs/>
            <w:i/>
          </w:rPr>
          <w:t xml:space="preserve">Phase 2 Deliverable 1</w:t>
        </w:r>
      </w:hyperlink>
      <w:r>
        <w:rPr>
          <w:iCs/>
          <w:i/>
        </w:rPr>
        <w:t xml:space="preserve">.</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hyperlink" Id="rId26"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26"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2026-07-17T22:40:44Z</dcterms:created>
  <dcterms:modified xsi:type="dcterms:W3CDTF">2026-07-17T22:40:44Z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2: The Federal Nexus</vt:lpwstr>
  </property>
  <property fmtid="{D5CDD505-2E9C-101B-9397-08002B2CF9AE}" pid="11" name="toc-title">
    <vt:lpwstr>Table of contents</vt:lpwstr>
  </property>
</Properties>
</file>