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8.png" ContentType="image/png"/>
  <Override PartName="/word/media/rId65.png" ContentType="image/png"/>
  <Override PartName="/word/media/rId81.png" ContentType="image/png"/>
  <Override PartName="/word/media/rId75.png" ContentType="image/png"/>
  <Override PartName="/word/media/rId91.png" ContentType="image/png"/>
  <Override PartName="/word/media/rId86.png" ContentType="image/png"/>
  <Override PartName="/word/media/rId59.png" ContentType="image/png"/>
  <Override PartName="/word/media/rId47.png" ContentType="image/png"/>
  <Override PartName="/word/media/rId42.png" ContentType="image/png"/>
  <Override PartName="/word/media/rId33.png" ContentType="image/png"/>
  <Override PartName="/word/media/rId24.png" ContentType="image/png"/>
  <Override PartName="/word/media/rId55.png" ContentType="image/png"/>
  <Override PartName="/word/media/rId70.png" ContentType="image/png"/>
  <Override PartName="/word/media/rId29.png" ContentType="image/png"/>
  <Override PartName="/word/media/rId1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NEPA Draws the Line: Determinations of Significance</w:t>
      </w:r>
    </w:p>
    <w:p>
      <w:pPr>
        <w:pStyle w:val="Subtitle"/>
      </w:pPr>
      <w:r>
        <w:t xml:space="preserve">NEPA by the Numbers — Fact Sheet 5: Significance Across Resource Areas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One word —</w:t>
            </w:r>
            <w:r>
              <w:rPr>
                <w:b/>
                <w:bCs/>
              </w:rPr>
              <w:t xml:space="preserve"> </w:t>
            </w:r>
            <w:r>
              <w:rPr>
                <w:b/>
                <w:bCs/>
              </w:rPr>
              <w:t xml:space="preserve">“significant”</w:t>
            </w:r>
            <w:r>
              <w:rPr>
                <w:b/>
                <w:bCs/>
              </w:rPr>
              <w:t xml:space="preserve"> </w:t>
            </w:r>
            <w:r>
              <w:rPr>
                <w:b/>
                <w:bCs/>
              </w:rPr>
              <w:t xml:space="preserve">— sets a project’s whole review path.</w:t>
            </w:r>
            <w:r>
              <w:t xml:space="preserve"> </w:t>
            </w:r>
            <w:r>
              <w:t xml:space="preserve">A not-significant finding puts a project on the fast track (a Finding of No Significant Impact, or FONSI); a significant finding triggers a full Environmental Impact Statement (EIS) that can add a year or more. This fact sheet is the first systematic look at how agencies draw that line for decarbonization projects.</w:t>
            </w:r>
          </w:p>
          <w:p>
            <w:pPr>
              <w:pStyle w:val="Compact"/>
              <w:numPr>
                <w:ilvl w:val="0"/>
                <w:numId w:val="1001"/>
              </w:numPr>
            </w:pPr>
            <w:r>
              <w:rPr>
                <w:b/>
                <w:bCs/>
              </w:rPr>
              <w:t xml:space="preserve">Most decarbonization FONSIs are mitigated.</w:t>
            </w:r>
            <w:r>
              <w:t xml:space="preserve"> </w:t>
            </w:r>
            <w:r>
              <w:t xml:space="preserve">About 58% of analyzed FONSI decision documents reach</w:t>
            </w:r>
            <w:r>
              <w:t xml:space="preserve"> </w:t>
            </w:r>
            <w:r>
              <w:t xml:space="preserve">“no significant impact”</w:t>
            </w:r>
            <w:r>
              <w:t xml:space="preserve"> </w:t>
            </w:r>
            <w:r>
              <w:t xml:space="preserve">only because the developer commits to specific measures — the impact would have been significant otherwise. The mitigation burden concentrates in a handful of resources: biological (30%), soils / geology (28%), water (26%), cultural / historic (22%).</w:t>
            </w:r>
          </w:p>
          <w:p>
            <w:pPr>
              <w:pStyle w:val="Compact"/>
              <w:numPr>
                <w:ilvl w:val="0"/>
                <w:numId w:val="1001"/>
              </w:numPr>
            </w:pPr>
            <w:r>
              <w:rPr>
                <w:b/>
                <w:bCs/>
              </w:rPr>
              <w:t xml:space="preserve">On the EIS side, visual impacts cross the line most</w:t>
            </w:r>
            <w:r>
              <w:t xml:space="preserve"> </w:t>
            </w:r>
            <w:r>
              <w:t xml:space="preserve">— judged significant more often than any other resource (visual (33%)), and most likely to be declared significant and unavoidable, because a changed landscape usually cannot be mitigated back.</w:t>
            </w:r>
          </w:p>
          <w:p>
            <w:pPr>
              <w:pStyle w:val="Compact"/>
              <w:numPr>
                <w:ilvl w:val="0"/>
                <w:numId w:val="1001"/>
              </w:numPr>
            </w:pPr>
            <w:r>
              <w:rPr>
                <w:b/>
                <w:bCs/>
              </w:rPr>
              <w:t xml:space="preserve">Resources split into two shapes:</w:t>
            </w:r>
            <w:r>
              <w:t xml:space="preserve"> </w:t>
            </w:r>
            <w:r>
              <w:t xml:space="preserve">some are reliably managed below the line (soils/geology, water, public health), while others break through (visual, land use, air quality).</w:t>
            </w:r>
          </w:p>
          <w:p>
            <w:pPr>
              <w:pStyle w:val="Compact"/>
              <w:numPr>
                <w:ilvl w:val="0"/>
                <w:numId w:val="1001"/>
              </w:numPr>
            </w:pPr>
            <w:r>
              <w:rPr>
                <w:b/>
                <w:bCs/>
              </w:rPr>
              <w:t xml:space="preserve">Mitigation does much of the work — but is not always demonstrably enforceable.</w:t>
            </w:r>
            <w:r>
              <w:t xml:space="preserve"> </w:t>
            </w:r>
            <w:r>
              <w:t xml:space="preserve">The committed measures behind a not-significant finding are often not tied to an enforceable permit condition, especially for cultural, soils, and public-health impacts.</w:t>
            </w:r>
          </w:p>
          <w:p/>
        </w:tc>
      </w:tr>
    </w:tbl>
    <w:p>
      <w:r>
        <w:pict>
          <v:rect style="width:0;height:1.5pt" o:hralign="center" o:hrstd="t" o:hr="t"/>
        </w:pict>
      </w:r>
    </w:p>
    <w:bookmarkEnd w:id="12"/>
    <w:bookmarkStart w:id="17" w:name="introduction"/>
    <w:p>
      <w:pPr>
        <w:pStyle w:val="Heading1"/>
      </w:pPr>
      <w:r>
        <w:t xml:space="preserve">Introduction</w:t>
      </w:r>
    </w:p>
    <w:p>
      <w:pPr>
        <w:pStyle w:val="FirstParagraph"/>
      </w:pPr>
      <w:r>
        <w:t xml:space="preserve">[[TO BE WRITTEN BY CATF]]</w:t>
      </w:r>
    </w:p>
    <w:p>
      <w:pPr>
        <w:pStyle w:val="BodyText"/>
      </w:pPr>
      <w:r>
        <w:t xml:space="preserve">The diagram below is the vocabulary this fact sheet uses. Every determination lands in one of these outcomes, and</w:t>
      </w:r>
      <w:r>
        <w:t xml:space="preserve"> </w:t>
      </w:r>
      <w:r>
        <w:t xml:space="preserve">“the line”</w:t>
      </w:r>
      <w:r>
        <w:t xml:space="preserve"> </w:t>
      </w:r>
      <w:r>
        <w:t xml:space="preserve">is the significance threshold that separates the fast track from the full review:</w:t>
      </w:r>
    </w:p>
    <w:tbl>
      <w:tblPr>
        <w:tblStyle w:val="Table"/>
        <w:tblW w:type="pct" w:w="5000"/>
        <w:tblLayout w:type="fixed"/>
        <w:tblLook w:firstRow="0" w:lastRow="0" w:firstColumn="0" w:lastColumn="0" w:noHBand="0" w:noVBand="0" w:val="0000"/>
      </w:tblPr>
      <w:tblGrid>
        <w:gridCol w:w="7920"/>
      </w:tblGrid>
      <w:tr>
        <w:tc>
          <w:tcPr/>
          <w:bookmarkStart w:id="16" w:name="fig-significance-ladder"/>
          <w:p>
            <w:pPr>
              <w:pStyle w:val="Compact"/>
              <w:jc w:val="center"/>
            </w:pPr>
            <w:r>
              <w:drawing>
                <wp:inline>
                  <wp:extent cx="5334000" cy="3267441"/>
                  <wp:effectExtent b="0" l="0" r="0" t="0"/>
                  <wp:docPr descr="" title="" id="14" name="Picture"/>
                  <a:graphic>
                    <a:graphicData uri="http://schemas.openxmlformats.org/drawingml/2006/picture">
                      <pic:pic>
                        <pic:nvPicPr>
                          <pic:cNvPr descr="../output/factsheet/figures/fs5_significance_ladder.png" id="15" name="Picture"/>
                          <pic:cNvPicPr>
                            <a:picLocks noChangeArrowheads="1" noChangeAspect="1"/>
                          </pic:cNvPicPr>
                        </pic:nvPicPr>
                        <pic:blipFill>
                          <a:blip r:embed="rId13"/>
                          <a:stretch>
                            <a:fillRect/>
                          </a:stretch>
                        </pic:blipFill>
                        <pic:spPr bwMode="auto">
                          <a:xfrm>
                            <a:off x="0" y="0"/>
                            <a:ext cx="5334000" cy="3267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significance ladder. The brackets show where each outcome is recorded — above-the-line findings in an EIS, below-the-line in a FONSI — and the less-than-significant-with-committed-mitigation call is the mitigated FONSI, this fact sheet’s central subject. Boxes closer to the line are closer calls.</w:t>
            </w:r>
          </w:p>
          <w:bookmarkEnd w:id="16"/>
        </w:tc>
      </w:tr>
    </w:tbl>
    <w:bookmarkEnd w:id="17"/>
    <w:bookmarkStart w:id="22" w:name="methodology"/>
    <w:p>
      <w:pPr>
        <w:pStyle w:val="Heading1"/>
      </w:pPr>
      <w:r>
        <w:t xml:space="preserve">Methodology</w:t>
      </w:r>
    </w:p>
    <w:p>
      <w:pPr>
        <w:pStyle w:val="FirstParagraph"/>
      </w:pPr>
      <w:r>
        <w:t xml:space="preserve">We analyze two document tracks separately, because they record opposite outcomes. FONSIs are the below-the-line record, where agencies concluded the impact is not significant and where the mitigated cases live. EISs are the above-the-line record: impacts the agency judged significant, and at the extreme significant and unavoidable.</w:t>
      </w:r>
    </w:p>
    <w:p>
      <w:pPr>
        <w:pStyle w:val="BodyText"/>
      </w:pPr>
      <w:r>
        <w:t xml:space="preserve">The workflow pairs the scale of automation with the reliability of human judgment. Software locates the specific passages where significance findings live; a language model (Claude) codes each one — outcome, resource area, threshold, mitigation. Before any result counts, the extraction is scored against a held-out answer key: a stratified 400-passage sample per track, labeled independently by two AI coders with a human adjudicator settling every disagreement.</w:t>
      </w:r>
    </w:p>
    <w:p>
      <w:pPr>
        <w:pStyle w:val="BodyText"/>
      </w:pPr>
      <w:r>
        <w:t xml:space="preserve">The two tracks together span a larger EIS corpus and a smaller FONSI corpus, and both touch every major resource area (</w:t>
      </w:r>
      <w:hyperlink w:anchor="fig-corpus-overview">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corpus-overview"/>
          <w:p>
            <w:pPr>
              <w:pStyle w:val="Compact"/>
              <w:jc w:val="center"/>
            </w:pPr>
            <w:r>
              <w:drawing>
                <wp:inline>
                  <wp:extent cx="5334000" cy="4267199"/>
                  <wp:effectExtent b="0" l="0" r="0" t="0"/>
                  <wp:docPr descr="" title="" id="19" name="Picture"/>
                  <a:graphic>
                    <a:graphicData uri="http://schemas.openxmlformats.org/drawingml/2006/picture">
                      <pic:pic>
                        <pic:nvPicPr>
                          <pic:cNvPr descr="../output/factsheet/figures/fig_corpus_overview.png" id="20" name="Picture"/>
                          <pic:cNvPicPr>
                            <a:picLocks noChangeArrowheads="1" noChangeAspect="1"/>
                          </pic:cNvPicPr>
                        </pic:nvPicPr>
                        <pic:blipFill>
                          <a:blip r:embed="rId18"/>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The scale of analysis, by review type — projects and the documents actually parsed for findings (top; the EIS corpus is the larger one), and the mix of resource areas the determinations cover for FONSIs and EISs (bottom; each square ≈ 1% of that track’s determinations).</w:t>
            </w:r>
          </w:p>
          <w:bookmarkEnd w:id="21"/>
        </w:tc>
      </w:tr>
    </w:tbl>
    <w:bookmarkEnd w:id="22"/>
    <w:bookmarkStart w:id="53" w:name="X2857efc1e8dfc901f770c83a0c82586a7f1e1be"/>
    <w:p>
      <w:pPr>
        <w:pStyle w:val="Heading1"/>
      </w:pPr>
      <w:r>
        <w:t xml:space="preserve">FONSI Analysis: How Agencies Stay Below the Line</w:t>
      </w:r>
    </w:p>
    <w:bookmarkStart w:id="23" w:name="scope-coverage-and-accuracy"/>
    <w:p>
      <w:pPr>
        <w:pStyle w:val="Heading2"/>
      </w:pPr>
      <w:r>
        <w:t xml:space="preserve">Scope, coverage, and accuracy</w:t>
      </w:r>
    </w:p>
    <w:p>
      <w:pPr>
        <w:pStyle w:val="FirstParagraph"/>
      </w:pPr>
      <w:r>
        <w:t xml:space="preserve">The FONSI analysis rests on the decarbonization FONSIs that are led by BLM or the Department of Energy family and carry machine-extractable significance findings — 258 decision documents across 193 projects. Every rate below describes those documents, not the full corpus; the reduction is a coverage limitation (some documents phrase their finding in wording the extraction does not recognize), not a different finding.</w:t>
      </w:r>
    </w:p>
    <w:p>
      <w:pPr>
        <w:pStyle w:val="BodyText"/>
      </w:pPr>
      <w:r>
        <w:t xml:space="preserve">Against the answer key, the extraction almost never misses a determination, agrees on the resource area at 0.89 (F1 score), and on the significance class at 0.81 — at or near the standard bar for this kind of task.</w:t>
      </w:r>
    </w:p>
    <w:bookmarkEnd w:id="23"/>
    <w:bookmarkStart w:id="28" w:name="how-agencies-stay-below-the-line"/>
    <w:p>
      <w:pPr>
        <w:pStyle w:val="Heading2"/>
      </w:pPr>
      <w:r>
        <w:t xml:space="preserve">How agencies stay below the line</w:t>
      </w:r>
    </w:p>
    <w:p>
      <w:pPr>
        <w:pStyle w:val="FirstParagraph"/>
      </w:pPr>
      <w:r>
        <w:t xml:space="preserve">Within FONSIs the determinations sit, almost without exception, below the significance line (</w:t>
      </w:r>
      <w:hyperlink w:anchor="fig-outcomes">
        <w:r>
          <w:rPr>
            <w:rStyle w:val="Hyperlink"/>
          </w:rPr>
          <w:t xml:space="preserve">Figure 3</w:t>
        </w:r>
      </w:hyperlink>
      <w:r>
        <w:t xml:space="preserve">): the agency either finds no significant impact outright or an impact that is less than significant, sometimes only with committed mitigation. The dominant outcome is no significant impact, as expected. But the resources agencies analyze most — biological, water, cultural/historic — are also where the close calls concentrate: the committed-mitigation band is widest for biological, soils/geology, water, and cultural/historic.</w:t>
      </w:r>
    </w:p>
    <w:tbl>
      <w:tblPr>
        <w:tblStyle w:val="Table"/>
        <w:tblW w:type="pct" w:w="5000"/>
        <w:tblLayout w:type="fixed"/>
        <w:tblLook w:firstRow="0" w:lastRow="0" w:firstColumn="0" w:lastColumn="0" w:noHBand="0" w:noVBand="0" w:val="0000"/>
      </w:tblPr>
      <w:tblGrid>
        <w:gridCol w:w="7920"/>
      </w:tblGrid>
      <w:tr>
        <w:tc>
          <w:tcPr/>
          <w:bookmarkStart w:id="27" w:name="fig-outcomes"/>
          <w:p>
            <w:pPr>
              <w:pStyle w:val="Compact"/>
              <w:jc w:val="center"/>
            </w:pPr>
            <w:r>
              <w:drawing>
                <wp:inline>
                  <wp:extent cx="5334000" cy="3667125"/>
                  <wp:effectExtent b="0" l="0" r="0" t="0"/>
                  <wp:docPr descr="" title="" id="25" name="Picture"/>
                  <a:graphic>
                    <a:graphicData uri="http://schemas.openxmlformats.org/drawingml/2006/picture">
                      <pic:pic>
                        <pic:nvPicPr>
                          <pic:cNvPr descr="../output/factsheet/figures/fig_outcomes_by_resource.png" id="26" name="Picture"/>
                          <pic:cNvPicPr>
                            <a:picLocks noChangeArrowheads="1" noChangeAspect="1"/>
                          </pic:cNvPicPr>
                        </pic:nvPicPr>
                        <pic:blipFill>
                          <a:blip r:embed="rId24"/>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each resource’s FONSI determinations by outcome, sorted by reliance on mitigation. Resources with more committed-mitigation share lean harder on required measures to reach a not-significant finding.</w:t>
            </w:r>
          </w:p>
          <w:bookmarkEnd w:id="27"/>
        </w:tc>
      </w:tr>
    </w:tbl>
    <w:bookmarkEnd w:id="28"/>
    <w:bookmarkStart w:id="52" w:name="mitigated-fonsis-the-line-itself"/>
    <w:p>
      <w:pPr>
        <w:pStyle w:val="Heading2"/>
      </w:pPr>
      <w:r>
        <w:t xml:space="preserve">Mitigated FONSIs — the line itself</w:t>
      </w:r>
    </w:p>
    <w:p>
      <w:pPr>
        <w:pStyle w:val="FirstParagraph"/>
      </w:pPr>
      <w:r>
        <w:t xml:space="preserve">The most revealing determinations are the mitigated ones: impacts the agency says would be significant, brought below the line only by required measures. They show exactly where the line sits and what it costs to stay under it — and they are the majority. About 58% of the analyzed FONSI documents are mitigated (</w:t>
      </w:r>
      <w:hyperlink w:anchor="fig-mitigated-share">
        <w:r>
          <w:rPr>
            <w:rStyle w:val="Hyperlink"/>
          </w:rPr>
          <w:t xml:space="preserve">Figure 4</w:t>
        </w:r>
      </w:hyperlink>
      <w:r>
        <w:t xml:space="preserve">), with at least one resource whose not-significant conclusion depends explicitly on committed mitigation.</w:t>
      </w:r>
    </w:p>
    <w:tbl>
      <w:tblPr>
        <w:tblStyle w:val="Table"/>
        <w:tblW w:type="pct" w:w="5000"/>
        <w:tblLayout w:type="fixed"/>
        <w:tblLook w:firstRow="0" w:lastRow="0" w:firstColumn="0" w:lastColumn="0" w:noHBand="0" w:noVBand="0" w:val="0000"/>
      </w:tblPr>
      <w:tblGrid>
        <w:gridCol w:w="7920"/>
      </w:tblGrid>
      <w:tr>
        <w:tc>
          <w:tcPr/>
          <w:bookmarkStart w:id="32" w:name="fig-mitigated-share"/>
          <w:p>
            <w:pPr>
              <w:pStyle w:val="Compact"/>
              <w:jc w:val="center"/>
            </w:pPr>
            <w:r>
              <w:drawing>
                <wp:inline>
                  <wp:extent cx="4533900" cy="2720339"/>
                  <wp:effectExtent b="0" l="0" r="0" t="0"/>
                  <wp:docPr descr="" title="" id="30" name="Picture"/>
                  <a:graphic>
                    <a:graphicData uri="http://schemas.openxmlformats.org/drawingml/2006/picture">
                      <pic:pic>
                        <pic:nvPicPr>
                          <pic:cNvPr descr="../output/factsheet/figures/fs5_mitigated_share.png" id="31" name="Picture"/>
                          <pic:cNvPicPr>
                            <a:picLocks noChangeArrowheads="1" noChangeAspect="1"/>
                          </pic:cNvPicPr>
                        </pic:nvPicPr>
                        <pic:blipFill>
                          <a:blip r:embed="rId29"/>
                          <a:stretch>
                            <a:fillRect/>
                          </a:stretch>
                        </pic:blipFill>
                        <pic:spPr bwMode="auto">
                          <a:xfrm>
                            <a:off x="0" y="0"/>
                            <a:ext cx="4533900" cy="2720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Share of FONSI documents that reach a not-significant finding only with committed mitigation (per-resource class signal).</w:t>
            </w:r>
          </w:p>
          <w:bookmarkEnd w:id="32"/>
        </w:tc>
      </w:tr>
    </w:tbl>
    <w:p>
      <w:pPr>
        <w:pStyle w:val="BodyText"/>
      </w:pPr>
      <w:r>
        <w:t xml:space="preserve">The mitigation burden is concentrated in a few resources (</w:t>
      </w:r>
      <w:hyperlink w:anchor="fig-mit-by-resource">
        <w:r>
          <w:rPr>
            <w:rStyle w:val="Hyperlink"/>
          </w:rPr>
          <w:t xml:space="preserve">Figure 5</w:t>
        </w:r>
      </w:hyperlink>
      <w:r>
        <w:t xml:space="preserve">) — biological (30%), soils / geology (28%), water (26%), cultural / historic (22%) — the areas where decarbonization projects most frequently sit at the line and are pulled under it by mitigation. Biological resources are both analyzed often and mitigated often, while soils/geology are mitigated intensively despite lower volume.</w:t>
      </w:r>
    </w:p>
    <w:tbl>
      <w:tblPr>
        <w:tblStyle w:val="Table"/>
        <w:tblW w:type="pct" w:w="5000"/>
        <w:tblLayout w:type="fixed"/>
        <w:tblLook w:firstRow="0" w:lastRow="0" w:firstColumn="0" w:lastColumn="0" w:noHBand="0" w:noVBand="0" w:val="0000"/>
      </w:tblPr>
      <w:tblGrid>
        <w:gridCol w:w="7920"/>
      </w:tblGrid>
      <w:tr>
        <w:tc>
          <w:tcPr/>
          <w:bookmarkStart w:id="36" w:name="fig-mit-by-resource"/>
          <w:p>
            <w:pPr>
              <w:pStyle w:val="Compact"/>
              <w:jc w:val="center"/>
            </w:pPr>
            <w:r>
              <w:drawing>
                <wp:inline>
                  <wp:extent cx="4800600" cy="3000375"/>
                  <wp:effectExtent b="0" l="0" r="0" t="0"/>
                  <wp:docPr descr="" title="" id="34" name="Picture"/>
                  <a:graphic>
                    <a:graphicData uri="http://schemas.openxmlformats.org/drawingml/2006/picture">
                      <pic:pic>
                        <pic:nvPicPr>
                          <pic:cNvPr descr="../output/factsheet/figures/fig_mitigation_by_resource.png" id="35" name="Picture"/>
                          <pic:cNvPicPr>
                            <a:picLocks noChangeArrowheads="1" noChangeAspect="1"/>
                          </pic:cNvPicPr>
                        </pic:nvPicPr>
                        <pic:blipFill>
                          <a:blip r:embed="rId3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Share of a resource’s FONSI conclusions that depend on committed mitigation. Point size scales with how often the resource is analyzed.</w:t>
            </w:r>
          </w:p>
          <w:bookmarkEnd w:id="36"/>
        </w:tc>
      </w:tr>
    </w:tbl>
    <w:p>
      <w:pPr>
        <w:pStyle w:val="BodyText"/>
      </w:pPr>
      <w:r>
        <w:t xml:space="preserve">What do these mitigations actually look like?</w:t>
      </w:r>
      <w:r>
        <w:t xml:space="preserve"> </w:t>
      </w:r>
      <w:hyperlink w:anchor="tbl-mitigation-examples">
        <w:r>
          <w:rPr>
            <w:rStyle w:val="Hyperlink"/>
          </w:rPr>
          <w:t xml:space="preserve">Table 1</w:t>
        </w:r>
      </w:hyperlink>
      <w:r>
        <w:t xml:space="preserve"> </w:t>
      </w:r>
      <w:r>
        <w:t xml:space="preserve">gives a representative measure for each of the most mitigation-heavy resources:</w:t>
      </w:r>
    </w:p>
    <w:tbl>
      <w:tblPr>
        <w:tblStyle w:val="Table"/>
        <w:tblW w:type="pct" w:w="5000"/>
        <w:tblLayout w:type="fixed"/>
        <w:tblLook w:firstRow="0" w:lastRow="0" w:firstColumn="0" w:lastColumn="0" w:noHBand="0" w:noVBand="0" w:val="0000"/>
      </w:tblPr>
      <w:tblGrid>
        <w:gridCol w:w="7920"/>
      </w:tblGrid>
      <w:tr>
        <w:tc>
          <w:tcPr/>
          <w:bookmarkStart w:id="37" w:name="tbl-mitigation-examples"/>
          <w:p>
            <w:pPr>
              <w:jc w:val="center"/>
            </w:pPr>
            <w:pPr>
              <w:jc w:val="left"/>
              <w:spacing w:before="200"/>
              <w:pStyle w:val="ImageCaption"/>
            </w:pPr>
            <w:r>
              <w:t xml:space="preserve">Table 1: Representative mitigation measures behind less-than-significant-with-mitigation conclusions (one example each for the five most mitigation-heavy resources; verbatim from the FONSI).</w:t>
            </w:r>
          </w:p>
          <w:tbl>
            <w:tblPr>
              <w:tblStyle w:val="Table"/>
              <w:tblW w:type="pct" w:w="5000"/>
              <w:tblLayout w:type="fixed"/>
              <w:tblLook w:firstRow="1" w:lastRow="0" w:firstColumn="0" w:lastColumn="0" w:noHBand="0" w:noVBand="0" w:val="0020"/>
            </w:tblPr>
            <w:tblGrid>
              <w:gridCol w:w="894"/>
              <w:gridCol w:w="7025"/>
            </w:tblGrid>
            <w:tr>
              <w:trPr>
                <w:tblHeader w:val="on"/>
              </w:trPr>
              <w:tc>
                <w:tcPr/>
                <w:p>
                  <w:pPr>
                    <w:pStyle w:val="Compact"/>
                    <w:jc w:val="left"/>
                    <w:jc w:val="center"/>
                  </w:pPr>
                  <w:r>
                    <w:t xml:space="preserve">Resource</w:t>
                  </w:r>
                </w:p>
              </w:tc>
              <w:tc>
                <w:tcPr/>
                <w:p>
                  <w:pPr>
                    <w:pStyle w:val="Compact"/>
                    <w:jc w:val="left"/>
                    <w:jc w:val="center"/>
                  </w:pPr>
                  <w:r>
                    <w:t xml:space="preserve">Example mitigation drawn from the FONSI</w:t>
                  </w:r>
                </w:p>
              </w:tc>
            </w:tr>
            <w:tr>
              <w:tc>
                <w:tcPr/>
                <w:p>
                  <w:pPr>
                    <w:pStyle w:val="Compact"/>
                    <w:jc w:val="left"/>
                    <w:jc w:val="center"/>
                  </w:pPr>
                  <w:r>
                    <w:t xml:space="preserve">Biological</w:t>
                  </w:r>
                </w:p>
              </w:tc>
              <w:tc>
                <w:tcPr/>
                <w:p>
                  <w:pPr>
                    <w:pStyle w:val="Compact"/>
                    <w:jc w:val="left"/>
                    <w:jc w:val="center"/>
                  </w:pPr>
                  <w:r>
                    <w:t xml:space="preserve">Restricting construction to August/September is intended to mitigate potential nest failure and displacement effects on Red-throated Loons.</w:t>
                  </w:r>
                </w:p>
              </w:tc>
            </w:tr>
            <w:tr>
              <w:tc>
                <w:tcPr/>
                <w:p>
                  <w:pPr>
                    <w:pStyle w:val="Compact"/>
                    <w:jc w:val="left"/>
                    <w:jc w:val="center"/>
                  </w:pPr>
                  <w:r>
                    <w:t xml:space="preserve">Soils / geology</w:t>
                  </w:r>
                </w:p>
              </w:tc>
              <w:tc>
                <w:tcPr/>
                <w:p>
                  <w:pPr>
                    <w:pStyle w:val="Compact"/>
                    <w:jc w:val="left"/>
                    <w:jc w:val="center"/>
                  </w:pPr>
                  <w:r>
                    <w:t xml:space="preserve">Use of BMPs and implementation of a construction SWPPP would ensure that short-term soil erosion and sediment transport impacts remain minor.</w:t>
                  </w:r>
                </w:p>
              </w:tc>
            </w:tr>
            <w:tr>
              <w:tc>
                <w:tcPr/>
                <w:p>
                  <w:pPr>
                    <w:pStyle w:val="Compact"/>
                    <w:jc w:val="left"/>
                    <w:jc w:val="center"/>
                  </w:pPr>
                  <w:r>
                    <w:t xml:space="preserve">Water</w:t>
                  </w:r>
                </w:p>
              </w:tc>
              <w:tc>
                <w:tcPr/>
                <w:p>
                  <w:pPr>
                    <w:pStyle w:val="Compact"/>
                    <w:jc w:val="left"/>
                    <w:jc w:val="center"/>
                  </w:pPr>
                  <w:r>
                    <w:t xml:space="preserve">Wetlands in the area were inventoried and potential impacts were mitigated in the design of the Proposed Action alternative.</w:t>
                  </w:r>
                </w:p>
              </w:tc>
            </w:tr>
            <w:tr>
              <w:tc>
                <w:tcPr/>
                <w:p>
                  <w:pPr>
                    <w:pStyle w:val="Compact"/>
                    <w:jc w:val="left"/>
                    <w:jc w:val="center"/>
                  </w:pPr>
                  <w:r>
                    <w:t xml:space="preserve">Cultural / historic</w:t>
                  </w:r>
                </w:p>
              </w:tc>
              <w:tc>
                <w:tcPr/>
                <w:p>
                  <w:pPr>
                    <w:pStyle w:val="Compact"/>
                    <w:jc w:val="left"/>
                    <w:jc w:val="center"/>
                  </w:pPr>
                  <w:r>
                    <w:t xml:space="preserve">KSU committed to minimize or avoid potential effects to cultural resources via protection measures detailed in section 2.5 of the EA.</w:t>
                  </w:r>
                </w:p>
              </w:tc>
            </w:tr>
            <w:tr>
              <w:tc>
                <w:tcPr/>
                <w:p>
                  <w:pPr>
                    <w:pStyle w:val="Compact"/>
                    <w:jc w:val="left"/>
                    <w:jc w:val="center"/>
                  </w:pPr>
                  <w:r>
                    <w:t xml:space="preserve">Public health</w:t>
                  </w:r>
                </w:p>
              </w:tc>
              <w:tc>
                <w:tcPr/>
                <w:p>
                  <w:pPr>
                    <w:pStyle w:val="Compact"/>
                    <w:jc w:val="left"/>
                    <w:jc w:val="center"/>
                  </w:pPr>
                  <w:r>
                    <w:t xml:space="preserve">With mitigation measures and BMPs, fire-prevention measures and traffic management would prevent disruption to fire, police, and medical emergency services.</w:t>
                  </w:r>
                </w:p>
              </w:tc>
            </w:tr>
          </w:tbl>
          <w:bookmarkEnd w:id="37"/>
          <w:p/>
        </w:tc>
      </w:tr>
    </w:tbl>
    <w:bookmarkStart w:id="46" w:name="X2a5689cc350e6d97efe668cb4a83f10cda06739"/>
    <w:p>
      <w:pPr>
        <w:pStyle w:val="Heading3"/>
      </w:pPr>
      <w:r>
        <w:t xml:space="preserve">Mitigation drivers differ by agency and technology</w:t>
      </w:r>
    </w:p>
    <w:p>
      <w:pPr>
        <w:pStyle w:val="FirstParagraph"/>
      </w:pPr>
      <w:r>
        <w:t xml:space="preserve">BLM and the DOE family run different kinds of projects, so the resources that push them to mitigate differ too (</w:t>
      </w:r>
      <w:hyperlink w:anchor="fig-dept">
        <w:r>
          <w:rPr>
            <w:rStyle w:val="Hyperlink"/>
          </w:rPr>
          <w:t xml:space="preserve">Figure 6</w:t>
        </w:r>
      </w:hyperlink>
      <w:r>
        <w:t xml:space="preserve">): biological, cultural/historic, air quality, and visual resources drive mitigation harder for BLM’s land-facing portfolio, while noise and water lean toward the DOE family’s facility- and construction-driven work.</w:t>
      </w:r>
    </w:p>
    <w:tbl>
      <w:tblPr>
        <w:tblStyle w:val="Table"/>
        <w:tblW w:type="pct" w:w="5000"/>
        <w:tblLayout w:type="fixed"/>
        <w:tblLook w:firstRow="0" w:lastRow="0" w:firstColumn="0" w:lastColumn="0" w:noHBand="0" w:noVBand="0" w:val="0000"/>
      </w:tblPr>
      <w:tblGrid>
        <w:gridCol w:w="7920"/>
      </w:tblGrid>
      <w:tr>
        <w:tc>
          <w:tcPr/>
          <w:bookmarkStart w:id="41" w:name="fig-dept"/>
          <w:p>
            <w:pPr>
              <w:pStyle w:val="Compact"/>
              <w:jc w:val="center"/>
            </w:pPr>
            <w:r>
              <w:drawing>
                <wp:inline>
                  <wp:extent cx="5067300" cy="3483768"/>
                  <wp:effectExtent b="0" l="0" r="0" t="0"/>
                  <wp:docPr descr="" title="" id="39" name="Picture"/>
                  <a:graphic>
                    <a:graphicData uri="http://schemas.openxmlformats.org/drawingml/2006/picture">
                      <pic:pic>
                        <pic:nvPicPr>
                          <pic:cNvPr descr="../output/factsheet/figures/fig_dept_by_resource.png" id="40" name="Picture"/>
                          <pic:cNvPicPr>
                            <a:picLocks noChangeArrowheads="1" noChangeAspect="1"/>
                          </pic:cNvPicPr>
                        </pic:nvPicPr>
                        <pic:blipFill>
                          <a:blip r:embed="rId38"/>
                          <a:stretch>
                            <a:fillRect/>
                          </a:stretch>
                        </pic:blipFill>
                        <pic:spPr bwMode="auto">
                          <a:xfrm>
                            <a:off x="0" y="0"/>
                            <a:ext cx="5067300" cy="348376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each resource’s FONSI conclusions that depend on committed mitigation, BLM versus the DOE family. A wider gap means the resource is a bigger mitigation driver for one department than the other.</w:t>
            </w:r>
          </w:p>
          <w:bookmarkEnd w:id="41"/>
        </w:tc>
      </w:tr>
    </w:tbl>
    <w:p>
      <w:pPr>
        <w:pStyle w:val="BodyText"/>
      </w:pPr>
      <w:r>
        <w:t xml:space="preserve">The project type matters as much as the agency (</w:t>
      </w:r>
      <w:hyperlink w:anchor="fig-fonsi-tech">
        <w:r>
          <w:rPr>
            <w:rStyle w:val="Hyperlink"/>
          </w:rPr>
          <w:t xml:space="preserve">Figure 7</w:t>
        </w:r>
      </w:hyperlink>
      <w:r>
        <w:t xml:space="preserve">): transmission and wind lean hardest on mitigation — linear corridors and turbine sites touch habitat, viewsheds, and cultural resources — while solar and storage sit at or below the corpus average.</w:t>
      </w:r>
    </w:p>
    <w:tbl>
      <w:tblPr>
        <w:tblStyle w:val="Table"/>
        <w:tblW w:type="pct" w:w="5000"/>
        <w:tblLayout w:type="fixed"/>
        <w:tblLook w:firstRow="0" w:lastRow="0" w:firstColumn="0" w:lastColumn="0" w:noHBand="0" w:noVBand="0" w:val="0000"/>
      </w:tblPr>
      <w:tblGrid>
        <w:gridCol w:w="7920"/>
      </w:tblGrid>
      <w:tr>
        <w:tc>
          <w:tcPr/>
          <w:bookmarkStart w:id="45" w:name="fig-fonsi-tech"/>
          <w:p>
            <w:pPr>
              <w:pStyle w:val="Compact"/>
              <w:jc w:val="center"/>
            </w:pPr>
            <w:r>
              <w:drawing>
                <wp:inline>
                  <wp:extent cx="5067300" cy="2787014"/>
                  <wp:effectExtent b="0" l="0" r="0" t="0"/>
                  <wp:docPr descr="" title="" id="43" name="Picture"/>
                  <a:graphic>
                    <a:graphicData uri="http://schemas.openxmlformats.org/drawingml/2006/picture">
                      <pic:pic>
                        <pic:nvPicPr>
                          <pic:cNvPr descr="../output/factsheet/figures/fig_fonsi_technology.png" id="44" name="Picture"/>
                          <pic:cNvPicPr>
                            <a:picLocks noChangeArrowheads="1" noChangeAspect="1"/>
                          </pic:cNvPicPr>
                        </pic:nvPicPr>
                        <pic:blipFill>
                          <a:blip r:embed="rId42"/>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Share of a technology’s FONSI conclusions that depend on committed mitigation. Technology is derived from the dataset’s project-type field; an</w:t>
            </w:r>
            <w:r>
              <w:t xml:space="preserve"> </w:t>
            </w:r>
            <w:r>
              <w:t xml:space="preserve">‘Other / mixed’</w:t>
            </w:r>
            <w:r>
              <w:t xml:space="preserve"> </w:t>
            </w:r>
            <w:r>
              <w:t xml:space="preserve">bucket is excluded, so read this for the named technologies.</w:t>
            </w:r>
          </w:p>
          <w:bookmarkEnd w:id="45"/>
        </w:tc>
      </w:tr>
    </w:tbl>
    <w:bookmarkEnd w:id="46"/>
    <w:bookmarkStart w:id="51" w:name="enforceability-of-committed-mitigation"/>
    <w:p>
      <w:pPr>
        <w:pStyle w:val="Heading3"/>
      </w:pPr>
      <w:r>
        <w:t xml:space="preserve">Enforceability of committed mitigation</w:t>
      </w:r>
    </w:p>
    <w:p>
      <w:pPr>
        <w:pStyle w:val="FirstParagraph"/>
      </w:pPr>
      <w:r>
        <w:t xml:space="preserve">“Mitigated”</w:t>
      </w:r>
      <w:r>
        <w:t xml:space="preserve"> </w:t>
      </w:r>
      <w:r>
        <w:t xml:space="preserve">only means something if the measures are actually required. The extraction flags whether each mitigated conclusion is tied to an enforceable permit condition or committed only in the document’s text. The pattern tracks regulatory leverage (</w:t>
      </w:r>
      <w:hyperlink w:anchor="fig-enforce">
        <w:r>
          <w:rPr>
            <w:rStyle w:val="Hyperlink"/>
          </w:rPr>
          <w:t xml:space="preserve">Figure 8</w:t>
        </w:r>
      </w:hyperlink>
      <w:r>
        <w:t xml:space="preserve">): biological and air-quality conclusions — backed by the Endangered Species Act and the Clean Air Act — most often carry an enforceable condition (about half and 43%). Visual and water sit mid-range (36% and 35%; the visual cell is small, n = 14 mitigated conclusions), while cultural, soils/geology, and public-health measures are rarely tied to one (26%, 9%, and 8%).</w:t>
      </w:r>
    </w:p>
    <w:tbl>
      <w:tblPr>
        <w:tblStyle w:val="Table"/>
        <w:tblW w:type="pct" w:w="5000"/>
        <w:tblLayout w:type="fixed"/>
        <w:tblLook w:firstRow="0" w:lastRow="0" w:firstColumn="0" w:lastColumn="0" w:noHBand="0" w:noVBand="0" w:val="0000"/>
      </w:tblPr>
      <w:tblGrid>
        <w:gridCol w:w="7920"/>
      </w:tblGrid>
      <w:tr>
        <w:tc>
          <w:tcPr/>
          <w:bookmarkStart w:id="50" w:name="fig-enforce"/>
          <w:p>
            <w:pPr>
              <w:pStyle w:val="Compact"/>
              <w:jc w:val="center"/>
            </w:pPr>
            <w:r>
              <w:drawing>
                <wp:inline>
                  <wp:extent cx="5067300" cy="2787014"/>
                  <wp:effectExtent b="0" l="0" r="0" t="0"/>
                  <wp:docPr descr="" title="" id="48" name="Picture"/>
                  <a:graphic>
                    <a:graphicData uri="http://schemas.openxmlformats.org/drawingml/2006/picture">
                      <pic:pic>
                        <pic:nvPicPr>
                          <pic:cNvPr descr="../output/factsheet/figures/fig_fonsi_enforceability.png" id="49" name="Picture"/>
                          <pic:cNvPicPr>
                            <a:picLocks noChangeArrowheads="1" noChangeAspect="1"/>
                          </pic:cNvPicPr>
                        </pic:nvPicPr>
                        <pic:blipFill>
                          <a:blip r:embed="rId47"/>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Share of a resource’s mitigated FONSI conclusions tied to an enforceable permit condition (versus committed only in the document text). Reported descriptively — an unmatched conclusion may still be enforced through channels the extraction does not capture.</w:t>
            </w:r>
          </w:p>
          <w:bookmarkEnd w:id="50"/>
        </w:tc>
      </w:tr>
    </w:tbl>
    <w:bookmarkEnd w:id="51"/>
    <w:bookmarkEnd w:id="52"/>
    <w:bookmarkEnd w:id="53"/>
    <w:bookmarkStart w:id="96" w:name="X32e36a6a845a7cc82e02d1859f3a56d7e408411"/>
    <w:p>
      <w:pPr>
        <w:pStyle w:val="Heading1"/>
      </w:pPr>
      <w:r>
        <w:t xml:space="preserve">EIS Analysis: Which Resources Cross the Line</w:t>
      </w:r>
    </w:p>
    <w:bookmarkStart w:id="54" w:name="scope-coverage-and-accuracy-1"/>
    <w:p>
      <w:pPr>
        <w:pStyle w:val="Heading2"/>
      </w:pPr>
      <w:r>
        <w:t xml:space="preserve">Scope, coverage, and accuracy</w:t>
      </w:r>
    </w:p>
    <w:p>
      <w:pPr>
        <w:pStyle w:val="FirstParagraph"/>
      </w:pPr>
      <w:r>
        <w:t xml:space="preserve">The EIS track is the mirror of the FONSI track — the above-the-line record of where impacts actually cross the significance line. It runs the identical extraction-and-validation machinery, but covers all lead agencies (not just BLM + DOE) because it is purely descriptive and never uses a project’s decision date. On that basis it rests on 506 projects (1,082 documents) carrying 13,240 distinct determinations, of which 2,198 land above the line, including 698 judged significant and unavoidable, impacts mitigation cannot erase.</w:t>
      </w:r>
    </w:p>
    <w:p>
      <w:pPr>
        <w:pStyle w:val="BodyText"/>
      </w:pPr>
      <w:r>
        <w:t xml:space="preserve">The EIS scores run lower than the FONSI track: the pipeline finds the determination reliably (0.84) and lands the significance class at 0.69 — separating</w:t>
      </w:r>
      <w:r>
        <w:t xml:space="preserve"> </w:t>
      </w:r>
      <w:r>
        <w:t xml:space="preserve">“significant”</w:t>
      </w:r>
      <w:r>
        <w:t xml:space="preserve"> </w:t>
      </w:r>
      <w:r>
        <w:t xml:space="preserve">from</w:t>
      </w:r>
      <w:r>
        <w:t xml:space="preserve"> </w:t>
      </w:r>
      <w:r>
        <w:t xml:space="preserve">“significant and unavoidable”</w:t>
      </w:r>
      <w:r>
        <w:t xml:space="preserve"> </w:t>
      </w:r>
      <w:r>
        <w:t xml:space="preserve">is a fine distinction the AI coders split on too. We therefore treat the adverse-vs-unavoidable split as directional.</w:t>
      </w:r>
    </w:p>
    <w:bookmarkEnd w:id="54"/>
    <w:bookmarkStart w:id="64" w:name="which-resources-cross-the-line"/>
    <w:p>
      <w:pPr>
        <w:pStyle w:val="Heading2"/>
      </w:pPr>
      <w:r>
        <w:t xml:space="preserve">Which resources cross the line</w:t>
      </w:r>
    </w:p>
    <w:p>
      <w:pPr>
        <w:pStyle w:val="FirstParagraph"/>
      </w:pPr>
      <w:r>
        <w:t xml:space="preserve">Ranking each resource by how often its EIS conclusions are judged significant (</w:t>
      </w:r>
      <w:hyperlink w:anchor="fig-above-line">
        <w:r>
          <w:rPr>
            <w:rStyle w:val="Hyperlink"/>
          </w:rPr>
          <w:t xml:space="preserve">Figure 9</w:t>
        </w:r>
      </w:hyperlink>
      <w:r>
        <w:t xml:space="preserve">), visual (33%) stands alone at the top, the clearest case of an impact that, once significant, tends to stay that way. cultural / historic (24%), biological (21%), and land use (18%) follow.</w:t>
      </w:r>
    </w:p>
    <w:tbl>
      <w:tblPr>
        <w:tblStyle w:val="Table"/>
        <w:tblW w:type="pct" w:w="5000"/>
        <w:tblLayout w:type="fixed"/>
        <w:tblLook w:firstRow="0" w:lastRow="0" w:firstColumn="0" w:lastColumn="0" w:noHBand="0" w:noVBand="0" w:val="0000"/>
      </w:tblPr>
      <w:tblGrid>
        <w:gridCol w:w="7920"/>
      </w:tblGrid>
      <w:tr>
        <w:tc>
          <w:tcPr/>
          <w:bookmarkStart w:id="58" w:name="fig-above-line"/>
          <w:p>
            <w:pPr>
              <w:pStyle w:val="Compact"/>
              <w:jc w:val="center"/>
            </w:pPr>
            <w:r>
              <w:drawing>
                <wp:inline>
                  <wp:extent cx="5334000" cy="3649578"/>
                  <wp:effectExtent b="0" l="0" r="0" t="0"/>
                  <wp:docPr descr="" title="" id="56" name="Picture"/>
                  <a:graphic>
                    <a:graphicData uri="http://schemas.openxmlformats.org/drawingml/2006/picture">
                      <pic:pic>
                        <pic:nvPicPr>
                          <pic:cNvPr descr="../output/factsheet/figures/fs5_eis_above_line.png" id="57" name="Picture"/>
                          <pic:cNvPicPr>
                            <a:picLocks noChangeArrowheads="1" noChangeAspect="1"/>
                          </pic:cNvPicPr>
                        </pic:nvPicPr>
                        <pic:blipFill>
                          <a:blip r:embed="rId55"/>
                          <a:stretch>
                            <a:fillRect/>
                          </a:stretch>
                        </pic:blipFill>
                        <pic:spPr bwMode="auto">
                          <a:xfrm>
                            <a:off x="0" y="0"/>
                            <a:ext cx="5334000" cy="364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Share of each resource’s EIS determinations judged significant (top = most likely to cross the line). In-bar labels split significant-adverse (lighter) from significant-unavoidable (darker); the end label gives the combined significant share and count.</w:t>
            </w:r>
          </w:p>
          <w:bookmarkEnd w:id="58"/>
        </w:tc>
      </w:tr>
    </w:tbl>
    <w:p>
      <w:pPr>
        <w:pStyle w:val="BodyText"/>
      </w:pPr>
      <w:r>
        <w:t xml:space="preserve">The starkest determinations are the significant and unavoidable ones — impacts no mitigation can bring below the line, the true limits on a decarbonization project. Visual impacts dominate (</w:t>
      </w:r>
      <w:hyperlink w:anchor="fig-unavoidable">
        <w:r>
          <w:rPr>
            <w:rStyle w:val="Hyperlink"/>
          </w:rPr>
          <w:t xml:space="preserve">Figure 10</w:t>
        </w:r>
      </w:hyperlink>
      <w:r>
        <w:t xml:space="preserve">): a wind farm on a ridgeline or a transmission corridor across open country changes a landscape in ways no mitigation fully undoes. Biological, cultural, and air-quality impacts follow;</w:t>
      </w:r>
      <w:r>
        <w:t xml:space="preserve"> </w:t>
      </w:r>
      <w:hyperlink w:anchor="tbl-unavoidable-ex">
        <w:r>
          <w:rPr>
            <w:rStyle w:val="Hyperlink"/>
          </w:rPr>
          <w:t xml:space="preserve">Table 2</w:t>
        </w:r>
      </w:hyperlink>
      <w:r>
        <w:t xml:space="preserve"> </w:t>
      </w:r>
      <w:r>
        <w:t xml:space="preserve">gives representative findings in the agencies’ own words.</w:t>
      </w:r>
    </w:p>
    <w:tbl>
      <w:tblPr>
        <w:tblStyle w:val="Table"/>
        <w:tblW w:type="pct" w:w="5000"/>
        <w:tblLayout w:type="fixed"/>
        <w:tblLook w:firstRow="0" w:lastRow="0" w:firstColumn="0" w:lastColumn="0" w:noHBand="0" w:noVBand="0" w:val="0000"/>
      </w:tblPr>
      <w:tblGrid>
        <w:gridCol w:w="7920"/>
      </w:tblGrid>
      <w:tr>
        <w:tc>
          <w:tcPr/>
          <w:bookmarkStart w:id="62" w:name="fig-unavoidable"/>
          <w:p>
            <w:pPr>
              <w:pStyle w:val="Compact"/>
              <w:jc w:val="center"/>
            </w:pPr>
            <w:r>
              <w:drawing>
                <wp:inline>
                  <wp:extent cx="4800600" cy="2760345"/>
                  <wp:effectExtent b="0" l="0" r="0" t="0"/>
                  <wp:docPr descr="" title="" id="60" name="Picture"/>
                  <a:graphic>
                    <a:graphicData uri="http://schemas.openxmlformats.org/drawingml/2006/picture">
                      <pic:pic>
                        <pic:nvPicPr>
                          <pic:cNvPr descr="../output/factsheet/figures/fig_eis_unavoidable.png" id="61" name="Picture"/>
                          <pic:cNvPicPr>
                            <a:picLocks noChangeArrowheads="1" noChangeAspect="1"/>
                          </pic:cNvPicPr>
                        </pic:nvPicPr>
                        <pic:blipFill>
                          <a:blip r:embed="rId59"/>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Count of significant-unavoidable determinations by resource — the impacts that remain significant even after mitigation.</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unavoidable-ex"/>
          <w:p>
            <w:pPr>
              <w:jc w:val="center"/>
            </w:pPr>
            <w:pPr>
              <w:jc w:val="left"/>
              <w:spacing w:before="200"/>
              <w:pStyle w:val="ImageCaption"/>
            </w:pPr>
            <w:r>
              <w:t xml:space="preserve">Table 2: Representative significant-and-unavoidable determinations, verbatim from the EIS (one example each for the five resources that hit the wall most often).</w:t>
            </w:r>
          </w:p>
          <w:tbl>
            <w:tblPr>
              <w:tblStyle w:val="Table"/>
              <w:tblW w:type="pct" w:w="5000"/>
              <w:tblLayout w:type="fixed"/>
              <w:tblLook w:firstRow="1" w:lastRow="0" w:firstColumn="0" w:lastColumn="0" w:noHBand="0" w:noVBand="0" w:val="0020"/>
            </w:tblPr>
            <w:tblGrid>
              <w:gridCol w:w="1287"/>
              <w:gridCol w:w="6632"/>
            </w:tblGrid>
            <w:tr>
              <w:trPr>
                <w:tblHeader w:val="on"/>
              </w:trPr>
              <w:tc>
                <w:tcPr/>
                <w:p>
                  <w:pPr>
                    <w:pStyle w:val="Compact"/>
                    <w:jc w:val="left"/>
                    <w:jc w:val="center"/>
                  </w:pPr>
                  <w:r>
                    <w:t xml:space="preserve">Resource</w:t>
                  </w:r>
                </w:p>
              </w:tc>
              <w:tc>
                <w:tcPr/>
                <w:p>
                  <w:pPr>
                    <w:pStyle w:val="Compact"/>
                    <w:jc w:val="left"/>
                    <w:jc w:val="center"/>
                  </w:pPr>
                  <w:r>
                    <w:t xml:space="preserve">Significant-unavoidable finding, in the agency’s words</w:t>
                  </w:r>
                </w:p>
              </w:tc>
            </w:tr>
            <w:tr>
              <w:tc>
                <w:tcPr/>
                <w:p>
                  <w:pPr>
                    <w:pStyle w:val="Compact"/>
                    <w:jc w:val="left"/>
                    <w:jc w:val="center"/>
                  </w:pPr>
                  <w:r>
                    <w:t xml:space="preserve">Visual</w:t>
                  </w:r>
                </w:p>
              </w:tc>
              <w:tc>
                <w:tcPr/>
                <w:p>
                  <w:pPr>
                    <w:pStyle w:val="Compact"/>
                    <w:jc w:val="left"/>
                    <w:jc w:val="center"/>
                  </w:pPr>
                  <w:r>
                    <w:t xml:space="preserve">With mitigation, impacts to scenic vistas would remain adverse and unavoidable (VIS-1).</w:t>
                  </w:r>
                </w:p>
              </w:tc>
            </w:tr>
            <w:tr>
              <w:tc>
                <w:tcPr/>
                <w:p>
                  <w:pPr>
                    <w:pStyle w:val="Compact"/>
                    <w:jc w:val="left"/>
                    <w:jc w:val="center"/>
                  </w:pPr>
                  <w:r>
                    <w:t xml:space="preserve">Biological</w:t>
                  </w:r>
                </w:p>
              </w:tc>
              <w:tc>
                <w:tcPr/>
                <w:p>
                  <w:pPr>
                    <w:pStyle w:val="Compact"/>
                    <w:jc w:val="left"/>
                    <w:jc w:val="center"/>
                  </w:pPr>
                  <w:r>
                    <w:t xml:space="preserve">The proposed project would result in major unavoidable adverse effects on desert tortoise habitat.</w:t>
                  </w:r>
                </w:p>
              </w:tc>
            </w:tr>
            <w:tr>
              <w:tc>
                <w:tcPr/>
                <w:p>
                  <w:pPr>
                    <w:pStyle w:val="Compact"/>
                    <w:jc w:val="left"/>
                    <w:jc w:val="center"/>
                  </w:pPr>
                  <w:r>
                    <w:t xml:space="preserve">Cultural / historic</w:t>
                  </w:r>
                </w:p>
              </w:tc>
              <w:tc>
                <w:tcPr/>
                <w:p>
                  <w:pPr>
                    <w:pStyle w:val="Compact"/>
                    <w:jc w:val="left"/>
                    <w:jc w:val="center"/>
                  </w:pPr>
                  <w:r>
                    <w:t xml:space="preserve">The project would cause direct and indirect adverse change to the significance of historic properties.</w:t>
                  </w:r>
                </w:p>
              </w:tc>
            </w:tr>
            <w:tr>
              <w:tc>
                <w:tcPr/>
                <w:p>
                  <w:pPr>
                    <w:pStyle w:val="Compact"/>
                    <w:jc w:val="left"/>
                    <w:jc w:val="center"/>
                  </w:pPr>
                  <w:r>
                    <w:t xml:space="preserve">Air quality</w:t>
                  </w:r>
                </w:p>
              </w:tc>
              <w:tc>
                <w:tcPr/>
                <w:p>
                  <w:pPr>
                    <w:pStyle w:val="Compact"/>
                    <w:jc w:val="left"/>
                    <w:jc w:val="center"/>
                  </w:pPr>
                  <w:r>
                    <w:t xml:space="preserve">Unavoidable air quality impacts due to dust generated during site preparation and construction.</w:t>
                  </w:r>
                </w:p>
              </w:tc>
            </w:tr>
            <w:tr>
              <w:tc>
                <w:tcPr/>
                <w:p>
                  <w:pPr>
                    <w:pStyle w:val="Compact"/>
                    <w:jc w:val="left"/>
                    <w:jc w:val="center"/>
                  </w:pPr>
                  <w:r>
                    <w:t xml:space="preserve">Noise</w:t>
                  </w:r>
                </w:p>
              </w:tc>
              <w:tc>
                <w:tcPr/>
                <w:p>
                  <w:pPr>
                    <w:pStyle w:val="Compact"/>
                    <w:jc w:val="left"/>
                    <w:jc w:val="center"/>
                  </w:pPr>
                  <w:r>
                    <w:t xml:space="preserve">Noise associated with Alternative 4 operations is identified as a long-term, unavoidable impact.</w:t>
                  </w:r>
                </w:p>
              </w:tc>
            </w:tr>
          </w:tbl>
          <w:bookmarkEnd w:id="63"/>
          <w:p/>
        </w:tc>
      </w:tr>
    </w:tbl>
    <w:bookmarkEnd w:id="64"/>
    <w:bookmarkStart w:id="69" w:name="how-broadly-an-eis-crosses-the-line"/>
    <w:p>
      <w:pPr>
        <w:pStyle w:val="Heading2"/>
      </w:pPr>
      <w:r>
        <w:t xml:space="preserve">How broadly an EIS crosses the line</w:t>
      </w:r>
    </w:p>
    <w:p>
      <w:pPr>
        <w:pStyle w:val="FirstParagraph"/>
      </w:pPr>
      <w:r>
        <w:t xml:space="preserve">When an EIS does cross the line, it usually does so narrowly (</w:t>
      </w:r>
      <w:hyperlink w:anchor="fig-breadth">
        <w:r>
          <w:rPr>
            <w:rStyle w:val="Hyperlink"/>
          </w:rPr>
          <w:t xml:space="preserve">Figure 11</w:t>
        </w:r>
      </w:hyperlink>
      <w:r>
        <w:t xml:space="preserve">): over a third of crossing EISs do so on a single resource and the median is two, though a long tail — 284 documents — crosses on three or more.</w:t>
      </w:r>
    </w:p>
    <w:tbl>
      <w:tblPr>
        <w:tblStyle w:val="Table"/>
        <w:tblW w:type="pct" w:w="5000"/>
        <w:tblLayout w:type="fixed"/>
        <w:tblLook w:firstRow="0" w:lastRow="0" w:firstColumn="0" w:lastColumn="0" w:noHBand="0" w:noVBand="0" w:val="0000"/>
      </w:tblPr>
      <w:tblGrid>
        <w:gridCol w:w="7920"/>
      </w:tblGrid>
      <w:tr>
        <w:tc>
          <w:tcPr/>
          <w:bookmarkStart w:id="68" w:name="fig-breadth"/>
          <w:p>
            <w:pPr>
              <w:pStyle w:val="Compact"/>
              <w:jc w:val="center"/>
            </w:pPr>
            <w:r>
              <w:drawing>
                <wp:inline>
                  <wp:extent cx="4800600" cy="2760345"/>
                  <wp:effectExtent b="0" l="0" r="0" t="0"/>
                  <wp:docPr descr="" title="" id="66" name="Picture"/>
                  <a:graphic>
                    <a:graphicData uri="http://schemas.openxmlformats.org/drawingml/2006/picture">
                      <pic:pic>
                        <pic:nvPicPr>
                          <pic:cNvPr descr="../output/factsheet/figures/fig_eis_breadth.png" id="67" name="Picture"/>
                          <pic:cNvPicPr>
                            <a:picLocks noChangeArrowheads="1" noChangeAspect="1"/>
                          </pic:cNvPicPr>
                        </pic:nvPicPr>
                        <pic:blipFill>
                          <a:blip r:embed="rId65"/>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Distinct resource areas judged significant per EIS document, among documents with at least one significant finding. Most cross narrowly; a long tail crosses on three or more.</w:t>
            </w:r>
          </w:p>
          <w:bookmarkEnd w:id="68"/>
        </w:tc>
      </w:tr>
    </w:tbl>
    <w:bookmarkEnd w:id="69"/>
    <w:bookmarkStart w:id="74" w:name="two-ways-a-resource-can-be-a-problem"/>
    <w:p>
      <w:pPr>
        <w:pStyle w:val="Heading2"/>
      </w:pPr>
      <w:r>
        <w:t xml:space="preserve">Two ways a resource can be a problem</w:t>
      </w:r>
    </w:p>
    <w:p>
      <w:pPr>
        <w:pStyle w:val="FirstParagraph"/>
      </w:pPr>
      <w:r>
        <w:t xml:space="preserve">Analyzing the two tracks separately pays off in one picture (</w:t>
      </w:r>
      <w:hyperlink w:anchor="fig-fonsi-vs-eis">
        <w:r>
          <w:rPr>
            <w:rStyle w:val="Hyperlink"/>
          </w:rPr>
          <w:t xml:space="preserve">Figure 12</w:t>
        </w:r>
      </w:hyperlink>
      <w:r>
        <w:t xml:space="preserve">), which plots each resource by how often it is mitigated below the line (FONSIs) against how often it crosses the line (EISs), with both tracks restricted to BLM + DOE so they are measured on the same footing:</w:t>
      </w:r>
    </w:p>
    <w:tbl>
      <w:tblPr>
        <w:tblStyle w:val="Table"/>
        <w:tblW w:type="pct" w:w="5000"/>
        <w:tblLayout w:type="fixed"/>
        <w:tblLook w:firstRow="0" w:lastRow="0" w:firstColumn="0" w:lastColumn="0" w:noHBand="0" w:noVBand="0" w:val="0000"/>
      </w:tblPr>
      <w:tblGrid>
        <w:gridCol w:w="7920"/>
      </w:tblGrid>
      <w:tr>
        <w:tc>
          <w:tcPr/>
          <w:bookmarkStart w:id="73" w:name="fig-fonsi-vs-eis"/>
          <w:p>
            <w:pPr>
              <w:pStyle w:val="Compact"/>
              <w:jc w:val="center"/>
            </w:pPr>
            <w:r>
              <w:drawing>
                <wp:inline>
                  <wp:extent cx="5067300" cy="3659716"/>
                  <wp:effectExtent b="0" l="0" r="0" t="0"/>
                  <wp:docPr descr="" title="" id="71" name="Picture"/>
                  <a:graphic>
                    <a:graphicData uri="http://schemas.openxmlformats.org/drawingml/2006/picture">
                      <pic:pic>
                        <pic:nvPicPr>
                          <pic:cNvPr descr="../output/factsheet/figures/fs5_fonsi_vs_eis.png" id="72" name="Picture"/>
                          <pic:cNvPicPr>
                            <a:picLocks noChangeArrowheads="1" noChangeAspect="1"/>
                          </pic:cNvPicPr>
                        </pic:nvPicPr>
                        <pic:blipFill>
                          <a:blip r:embed="rId70"/>
                          <a:stretch>
                            <a:fillRect/>
                          </a:stretch>
                        </pic:blipFill>
                        <pic:spPr bwMode="auto">
                          <a:xfrm>
                            <a:off x="0" y="0"/>
                            <a:ext cx="5067300" cy="3659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Note: Each resource (BLM + DOE) plotted by how often it is mitigated below the line in FONSIs (x) versus how often it crosses into significance in EISs (y). The dashed diagonal is equal odds; point size ≈ determinations.</w:t>
            </w:r>
          </w:p>
          <w:bookmarkEnd w:id="73"/>
        </w:tc>
      </w:tr>
    </w:tbl>
    <w:p>
      <w:pPr>
        <w:pStyle w:val="BodyText"/>
      </w:pPr>
      <w:r>
        <w:t xml:space="preserve">Three shapes emerge. Visual, land use, and air quality break above the line more often than they are mitigated below it, with visual the extreme. Soils/geology, water, and public health show the opposite — frequently mitigated, rarely crossing — the impacts the toolbox of committed measures reliably handles. Cultural/historic straddles both sides, crossing into significance about as often as it is mitigated below it.</w:t>
      </w:r>
    </w:p>
    <w:bookmarkEnd w:id="74"/>
    <w:bookmarkStart w:id="80" w:name="why-an-impact-is-significant"/>
    <w:p>
      <w:pPr>
        <w:pStyle w:val="Heading2"/>
      </w:pPr>
      <w:r>
        <w:t xml:space="preserve">Why an impact is significant</w:t>
      </w:r>
    </w:p>
    <w:p>
      <w:pPr>
        <w:pStyle w:val="FirstParagraph"/>
      </w:pPr>
      <w:r>
        <w:t xml:space="preserve">For every above-the-line determination the extraction also records why it is significant. The leading reasons are sheer magnitude, a protected resource, and cumulative effects (</w:t>
      </w:r>
      <w:hyperlink w:anchor="fig-factors">
        <w:r>
          <w:rPr>
            <w:rStyle w:val="Hyperlink"/>
          </w:rPr>
          <w:t xml:space="preserve">Figure 13</w:t>
        </w:r>
      </w:hyperlink>
      <w:r>
        <w:t xml:space="preserve">; verbatim examples in</w:t>
      </w:r>
      <w:r>
        <w:t xml:space="preserve"> </w:t>
      </w:r>
      <w:hyperlink w:anchor="tbl-factor-ex">
        <w:r>
          <w:rPr>
            <w:rStyle w:val="Hyperlink"/>
          </w:rPr>
          <w:t xml:space="preserve">Table 3</w:t>
        </w:r>
      </w:hyperlink>
      <w:r>
        <w:t xml:space="preserve">). Most notable for decarbonization siting is cumulative effects: roughly one in four significant findings rests on impacts that build up across a landscape or airshed rather than on one project’s direct footprint.</w:t>
      </w:r>
    </w:p>
    <w:tbl>
      <w:tblPr>
        <w:tblStyle w:val="Table"/>
        <w:tblW w:type="pct" w:w="5000"/>
        <w:tblLayout w:type="fixed"/>
        <w:tblLook w:firstRow="0" w:lastRow="0" w:firstColumn="0" w:lastColumn="0" w:noHBand="0" w:noVBand="0" w:val="0000"/>
      </w:tblPr>
      <w:tblGrid>
        <w:gridCol w:w="7920"/>
      </w:tblGrid>
      <w:tr>
        <w:tc>
          <w:tcPr/>
          <w:bookmarkStart w:id="78" w:name="fig-factors"/>
          <w:p>
            <w:pPr>
              <w:pStyle w:val="Compact"/>
              <w:jc w:val="center"/>
            </w:pPr>
            <w:r>
              <w:drawing>
                <wp:inline>
                  <wp:extent cx="4800600" cy="2880360"/>
                  <wp:effectExtent b="0" l="0" r="0" t="0"/>
                  <wp:docPr descr="" title="" id="76" name="Picture"/>
                  <a:graphic>
                    <a:graphicData uri="http://schemas.openxmlformats.org/drawingml/2006/picture">
                      <pic:pic>
                        <pic:nvPicPr>
                          <pic:cNvPr descr="../output/factsheet/figures/fig_eis_factors.png" id="77" name="Picture"/>
                          <pic:cNvPicPr>
                            <a:picLocks noChangeArrowheads="1" noChangeAspect="1"/>
                          </pic:cNvPicPr>
                        </pic:nvPicPr>
                        <pic:blipFill>
                          <a:blip r:embed="rId7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Note: The factor cited behind each significant determination (a determination can cite more than one factor across alternatives). Sheer magnitude, a protected resource, and cumulative effects lead.</w:t>
            </w:r>
          </w:p>
          <w:bookmarkEnd w:id="78"/>
        </w:tc>
      </w:tr>
    </w:tbl>
    <w:tbl>
      <w:tblPr>
        <w:tblStyle w:val="Table"/>
        <w:tblW w:type="pct" w:w="5000"/>
        <w:tblLayout w:type="fixed"/>
        <w:tblLook w:firstRow="0" w:lastRow="0" w:firstColumn="0" w:lastColumn="0" w:noHBand="0" w:noVBand="0" w:val="0000"/>
      </w:tblPr>
      <w:tblGrid>
        <w:gridCol w:w="7920"/>
      </w:tblGrid>
      <w:tr>
        <w:tc>
          <w:tcPr/>
          <w:bookmarkStart w:id="79" w:name="tbl-factor-ex"/>
          <w:p>
            <w:pPr>
              <w:jc w:val="center"/>
            </w:pPr>
            <w:pPr>
              <w:jc w:val="left"/>
              <w:spacing w:before="200"/>
              <w:pStyle w:val="ImageCaption"/>
            </w:pPr>
            <w:r>
              <w:t xml:space="preserve">Table 3: What each significance factor looks like in the EIS text — verbatim examples for the five most common factors.</w:t>
            </w:r>
          </w:p>
          <w:tbl>
            <w:tblPr>
              <w:tblStyle w:val="Table"/>
              <w:tblW w:type="pct" w:w="5000"/>
              <w:tblLayout w:type="fixed"/>
              <w:tblLook w:firstRow="1" w:lastRow="0" w:firstColumn="0" w:lastColumn="0" w:noHBand="0" w:noVBand="0" w:val="0020"/>
            </w:tblPr>
            <w:tblGrid>
              <w:gridCol w:w="1634"/>
              <w:gridCol w:w="6285"/>
            </w:tblGrid>
            <w:tr>
              <w:trPr>
                <w:tblHeader w:val="on"/>
              </w:trPr>
              <w:tc>
                <w:tcPr/>
                <w:p>
                  <w:pPr>
                    <w:pStyle w:val="Compact"/>
                    <w:jc w:val="left"/>
                    <w:jc w:val="center"/>
                  </w:pPr>
                  <w:r>
                    <w:t xml:space="preserve">Factor</w:t>
                  </w:r>
                </w:p>
              </w:tc>
              <w:tc>
                <w:tcPr/>
                <w:p>
                  <w:pPr>
                    <w:pStyle w:val="Compact"/>
                    <w:jc w:val="left"/>
                    <w:jc w:val="center"/>
                  </w:pPr>
                  <w:r>
                    <w:t xml:space="preserve">Significant finding, in the agency’s words</w:t>
                  </w:r>
                </w:p>
              </w:tc>
            </w:tr>
            <w:tr>
              <w:tc>
                <w:tcPr/>
                <w:p>
                  <w:pPr>
                    <w:pStyle w:val="Compact"/>
                    <w:jc w:val="left"/>
                    <w:jc w:val="center"/>
                  </w:pPr>
                  <w:r>
                    <w:t xml:space="preserve">Sheer magnitude</w:t>
                  </w:r>
                </w:p>
              </w:tc>
              <w:tc>
                <w:tcPr/>
                <w:p>
                  <w:pPr>
                    <w:pStyle w:val="Compact"/>
                    <w:jc w:val="left"/>
                    <w:jc w:val="center"/>
                  </w:pPr>
                  <w:r>
                    <w:t xml:space="preserve">The Pier 41 Alternative could result in major socioeconomic impacts.</w:t>
                  </w:r>
                </w:p>
              </w:tc>
            </w:tr>
            <w:tr>
              <w:tc>
                <w:tcPr/>
                <w:p>
                  <w:pPr>
                    <w:pStyle w:val="Compact"/>
                    <w:jc w:val="left"/>
                    <w:jc w:val="center"/>
                  </w:pPr>
                  <w:r>
                    <w:t xml:space="preserve">Protected resource</w:t>
                  </w:r>
                </w:p>
              </w:tc>
              <w:tc>
                <w:tcPr/>
                <w:p>
                  <w:pPr>
                    <w:pStyle w:val="Compact"/>
                    <w:jc w:val="left"/>
                    <w:jc w:val="center"/>
                  </w:pPr>
                  <w:r>
                    <w:t xml:space="preserve">Alternative E would result in significant impacts to cultural resources.</w:t>
                  </w:r>
                </w:p>
              </w:tc>
            </w:tr>
            <w:tr>
              <w:tc>
                <w:tcPr/>
                <w:p>
                  <w:pPr>
                    <w:pStyle w:val="Compact"/>
                    <w:jc w:val="left"/>
                    <w:jc w:val="center"/>
                  </w:pPr>
                  <w:r>
                    <w:t xml:space="preserve">Cumulative effect</w:t>
                  </w:r>
                </w:p>
              </w:tc>
              <w:tc>
                <w:tcPr/>
                <w:p>
                  <w:pPr>
                    <w:pStyle w:val="Compact"/>
                    <w:jc w:val="left"/>
                    <w:jc w:val="center"/>
                  </w:pPr>
                  <w:r>
                    <w:t xml:space="preserve">The presence of the AEWP would add to a cumulative visual alteration, as discussed above.</w:t>
                  </w:r>
                </w:p>
              </w:tc>
            </w:tr>
            <w:tr>
              <w:tc>
                <w:tcPr/>
                <w:p>
                  <w:pPr>
                    <w:pStyle w:val="Compact"/>
                    <w:jc w:val="left"/>
                    <w:jc w:val="center"/>
                  </w:pPr>
                  <w:r>
                    <w:t xml:space="preserve">Regulatory threshold</w:t>
                  </w:r>
                </w:p>
              </w:tc>
              <w:tc>
                <w:tcPr/>
                <w:p>
                  <w:pPr>
                    <w:pStyle w:val="Compact"/>
                    <w:jc w:val="left"/>
                    <w:jc w:val="center"/>
                  </w:pPr>
                  <w:r>
                    <w:t xml:space="preserve">VRM Class III objectives would not be met for this segment.</w:t>
                  </w:r>
                </w:p>
              </w:tc>
            </w:tr>
            <w:tr>
              <w:tc>
                <w:tcPr/>
                <w:p>
                  <w:pPr>
                    <w:pStyle w:val="Compact"/>
                    <w:jc w:val="left"/>
                    <w:jc w:val="center"/>
                  </w:pPr>
                  <w:r>
                    <w:t xml:space="preserve">Significant but mitigable</w:t>
                  </w:r>
                </w:p>
              </w:tc>
              <w:tc>
                <w:tcPr/>
                <w:p>
                  <w:pPr>
                    <w:pStyle w:val="Compact"/>
                    <w:jc w:val="left"/>
                    <w:jc w:val="center"/>
                  </w:pPr>
                  <w:r>
                    <w:t xml:space="preserve">Significant but mitigable impacts to parade-ground vegetation from irrigation with reclaimed water.</w:t>
                  </w:r>
                </w:p>
              </w:tc>
            </w:tr>
          </w:tbl>
          <w:bookmarkEnd w:id="79"/>
          <w:p/>
        </w:tc>
      </w:tr>
    </w:tbl>
    <w:bookmarkEnd w:id="80"/>
    <w:bookmarkStart w:id="85" w:name="significance-rates-differ-by-lead-agency"/>
    <w:p>
      <w:pPr>
        <w:pStyle w:val="Heading2"/>
      </w:pPr>
      <w:r>
        <w:t xml:space="preserve">Significance rates differ by lead agency</w:t>
      </w:r>
    </w:p>
    <w:p>
      <w:pPr>
        <w:pStyle w:val="FirstParagraph"/>
      </w:pPr>
      <w:r>
        <w:t xml:space="preserve">Because the EIS track spans every lead agency, we can ask whether some cross the line more than others. They do (</w:t>
      </w:r>
      <w:hyperlink w:anchor="fig-by-agency">
        <w:r>
          <w:rPr>
            <w:rStyle w:val="Hyperlink"/>
          </w:rPr>
          <w:t xml:space="preserve">Figure 14</w:t>
        </w:r>
      </w:hyperlink>
      <w:r>
        <w:t xml:space="preserve">), and the pattern tracks each agency’s portfolio: the spread runs from Army Corps (27%) down to TVA (3%), with land- and water-facing agencies (the Army Corps, BLM) crossing most often and utility-service programs least.</w:t>
      </w:r>
    </w:p>
    <w:tbl>
      <w:tblPr>
        <w:tblStyle w:val="Table"/>
        <w:tblW w:type="pct" w:w="5000"/>
        <w:tblLayout w:type="fixed"/>
        <w:tblLook w:firstRow="0" w:lastRow="0" w:firstColumn="0" w:lastColumn="0" w:noHBand="0" w:noVBand="0" w:val="0000"/>
      </w:tblPr>
      <w:tblGrid>
        <w:gridCol w:w="7920"/>
      </w:tblGrid>
      <w:tr>
        <w:tc>
          <w:tcPr/>
          <w:bookmarkStart w:id="84" w:name="fig-by-agency"/>
          <w:p>
            <w:pPr>
              <w:pStyle w:val="Compact"/>
              <w:jc w:val="center"/>
            </w:pPr>
            <w:r>
              <w:drawing>
                <wp:inline>
                  <wp:extent cx="5067300" cy="3576917"/>
                  <wp:effectExtent b="0" l="0" r="0" t="0"/>
                  <wp:docPr descr="" title="" id="82" name="Picture"/>
                  <a:graphic>
                    <a:graphicData uri="http://schemas.openxmlformats.org/drawingml/2006/picture">
                      <pic:pic>
                        <pic:nvPicPr>
                          <pic:cNvPr descr="../output/factsheet/figures/fig_eis_by_agency.png" id="83" name="Picture"/>
                          <pic:cNvPicPr>
                            <a:picLocks noChangeArrowheads="1" noChangeAspect="1"/>
                          </pic:cNvPicPr>
                        </pic:nvPicPr>
                        <pic:blipFill>
                          <a:blip r:embed="rId81"/>
                          <a:stretch>
                            <a:fillRect/>
                          </a:stretch>
                        </pic:blipFill>
                        <pic:spPr bwMode="auto">
                          <a:xfrm>
                            <a:off x="0" y="0"/>
                            <a:ext cx="5067300" cy="357691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Note: Share of a lead agency’s EIS determinations judged significant, for agencies with enough determinations to report. Dark = the agencies with complete dataset coverage (BLM, DOE family); light = other agencies, shown for context with partial coverage. Point size ≈ determinations.</w:t>
            </w:r>
          </w:p>
          <w:bookmarkEnd w:id="84"/>
        </w:tc>
      </w:tr>
    </w:tbl>
    <w:bookmarkEnd w:id="85"/>
    <w:bookmarkStart w:id="90" w:name="significance-by-clean-energy-technology"/>
    <w:p>
      <w:pPr>
        <w:pStyle w:val="Heading2"/>
      </w:pPr>
      <w:r>
        <w:t xml:space="preserve">Significance by clean-energy technology</w:t>
      </w:r>
    </w:p>
    <w:p>
      <w:pPr>
        <w:pStyle w:val="FirstParagraph"/>
      </w:pPr>
      <w:r>
        <w:t xml:space="preserve">The most decision-relevant cut for a decarbonization portfolio is the technology (</w:t>
      </w:r>
      <w:hyperlink w:anchor="fig-eis-tech">
        <w:r>
          <w:rPr>
            <w:rStyle w:val="Hyperlink"/>
          </w:rPr>
          <w:t xml:space="preserve">Figure 15</w:t>
        </w:r>
      </w:hyperlink>
      <w:r>
        <w:t xml:space="preserve">). Hydro crosses the line most (28%), followed by transmission and solar; nuclear crosses least among the large technologies (6%). And the resources each technology hits are distinct and largely predictable: wind’s fight is wildlife (avian and bat collision) and noise, solar’s is visual, cultural, and air quality, and transmission spreads across biological, visual, and cultural along its corridor.</w:t>
      </w:r>
    </w:p>
    <w:tbl>
      <w:tblPr>
        <w:tblStyle w:val="Table"/>
        <w:tblW w:type="pct" w:w="5000"/>
        <w:tblLayout w:type="fixed"/>
        <w:tblLook w:firstRow="0" w:lastRow="0" w:firstColumn="0" w:lastColumn="0" w:noHBand="0" w:noVBand="0" w:val="0000"/>
      </w:tblPr>
      <w:tblGrid>
        <w:gridCol w:w="7920"/>
      </w:tblGrid>
      <w:tr>
        <w:tc>
          <w:tcPr/>
          <w:bookmarkStart w:id="89" w:name="fig-eis-tech"/>
          <w:p>
            <w:pPr>
              <w:pStyle w:val="Compact"/>
              <w:jc w:val="center"/>
            </w:pPr>
            <w:r>
              <w:drawing>
                <wp:inline>
                  <wp:extent cx="5067300" cy="2787014"/>
                  <wp:effectExtent b="0" l="0" r="0" t="0"/>
                  <wp:docPr descr="" title="" id="87" name="Picture"/>
                  <a:graphic>
                    <a:graphicData uri="http://schemas.openxmlformats.org/drawingml/2006/picture">
                      <pic:pic>
                        <pic:nvPicPr>
                          <pic:cNvPr descr="../output/factsheet/figures/fig_eis_technology.png" id="88" name="Picture"/>
                          <pic:cNvPicPr>
                            <a:picLocks noChangeArrowheads="1" noChangeAspect="1"/>
                          </pic:cNvPicPr>
                        </pic:nvPicPr>
                        <pic:blipFill>
                          <a:blip r:embed="rId86"/>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Note: Share of a technology’s EIS determinations judged significant. Technology is derived from the dataset’s project-type field; an</w:t>
            </w:r>
            <w:r>
              <w:t xml:space="preserve"> </w:t>
            </w:r>
            <w:r>
              <w:t xml:space="preserve">‘Other / mixed’</w:t>
            </w:r>
            <w:r>
              <w:t xml:space="preserve"> </w:t>
            </w:r>
            <w:r>
              <w:t xml:space="preserve">bucket is excluded, so read this for the named technologies.</w:t>
            </w:r>
          </w:p>
          <w:bookmarkEnd w:id="89"/>
        </w:tc>
      </w:tr>
    </w:tbl>
    <w:bookmarkEnd w:id="90"/>
    <w:bookmarkStart w:id="95" w:name="significant-but-reducible"/>
    <w:p>
      <w:pPr>
        <w:pStyle w:val="Heading2"/>
      </w:pPr>
      <w:r>
        <w:t xml:space="preserve">Significant, but reducible</w:t>
      </w:r>
    </w:p>
    <w:p>
      <w:pPr>
        <w:pStyle w:val="FirstParagraph"/>
      </w:pPr>
      <w:r>
        <w:t xml:space="preserve">Not every above-the-line finding is a hard stop: some significant determinations are flagged as still mitigable — the EIS analog of a mitigated FONSI. Visual leads this list too (</w:t>
      </w:r>
      <w:hyperlink w:anchor="fig-mitigable">
        <w:r>
          <w:rPr>
            <w:rStyle w:val="Hyperlink"/>
          </w:rPr>
          <w:t xml:space="preserve">Figure 16</w:t>
        </w:r>
      </w:hyperlink>
      <w:r>
        <w:t xml:space="preserve">): even the resource most likely to cross the line sometimes admits partial mitigation (screening, siting adjustments), just not enough to drop below it.</w:t>
      </w:r>
    </w:p>
    <w:tbl>
      <w:tblPr>
        <w:tblStyle w:val="Table"/>
        <w:tblW w:type="pct" w:w="5000"/>
        <w:tblLayout w:type="fixed"/>
        <w:tblLook w:firstRow="0" w:lastRow="0" w:firstColumn="0" w:lastColumn="0" w:noHBand="0" w:noVBand="0" w:val="0000"/>
      </w:tblPr>
      <w:tblGrid>
        <w:gridCol w:w="7920"/>
      </w:tblGrid>
      <w:tr>
        <w:tc>
          <w:tcPr/>
          <w:bookmarkStart w:id="94" w:name="fig-mitigable"/>
          <w:p>
            <w:pPr>
              <w:pStyle w:val="Compact"/>
              <w:jc w:val="center"/>
            </w:pPr>
            <w:r>
              <w:drawing>
                <wp:inline>
                  <wp:extent cx="4800600" cy="2520315"/>
                  <wp:effectExtent b="0" l="0" r="0" t="0"/>
                  <wp:docPr descr="" title="" id="92" name="Picture"/>
                  <a:graphic>
                    <a:graphicData uri="http://schemas.openxmlformats.org/drawingml/2006/picture">
                      <pic:pic>
                        <pic:nvPicPr>
                          <pic:cNvPr descr="../output/factsheet/figures/fig_eis_mitigable.png" id="93" name="Picture"/>
                          <pic:cNvPicPr>
                            <a:picLocks noChangeArrowheads="1" noChangeAspect="1"/>
                          </pic:cNvPicPr>
                        </pic:nvPicPr>
                        <pic:blipFill>
                          <a:blip r:embed="rId91"/>
                          <a:stretch>
                            <a:fillRect/>
                          </a:stretch>
                        </pic:blipFill>
                        <pic:spPr bwMode="auto">
                          <a:xfrm>
                            <a:off x="0" y="0"/>
                            <a:ext cx="4800600" cy="252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Note: Significant EIS determinations the agency flags as still mitigable, by resource — the above-the-line counterpart to a mitigated FONSI.</w:t>
            </w:r>
          </w:p>
          <w:bookmarkEnd w:id="94"/>
        </w:tc>
      </w:tr>
    </w:tbl>
    <w:bookmarkEnd w:id="95"/>
    <w:bookmarkEnd w:id="96"/>
    <w:bookmarkStart w:id="98" w:name="conclusion-and-policy-implications"/>
    <w:p>
      <w:pPr>
        <w:pStyle w:val="Heading1"/>
      </w:pPr>
      <w:r>
        <w:t xml:space="preserve">Conclusion and Policy Implications</w:t>
      </w:r>
    </w:p>
    <w:p>
      <w:pPr>
        <w:pStyle w:val="FirstParagraph"/>
      </w:pPr>
      <w:r>
        <w:rPr>
          <w:b/>
          <w:bCs/>
        </w:rPr>
        <w:t xml:space="preserve">Mitigation plays a central role in whether an impact is called significant.</w:t>
      </w:r>
      <w:r>
        <w:t xml:space="preserve"> </w:t>
      </w:r>
      <w:r>
        <w:t xml:space="preserve">A majority of the analyzed decarbonization FONSIs reach</w:t>
      </w:r>
      <w:r>
        <w:t xml:space="preserve"> </w:t>
      </w:r>
      <w:r>
        <w:t xml:space="preserve">“no significant impact”</w:t>
      </w:r>
      <w:r>
        <w:t xml:space="preserve"> </w:t>
      </w:r>
      <w:r>
        <w:t xml:space="preserve">only because the developer commits to specific measures, and that reliance is concentrated in a handful of resources (biological, soils, water, and cultural/historic sites), while others — notably visual — are mitigated far less often and, when significant, tend to stay that way. Two implications follow.</w:t>
      </w:r>
    </w:p>
    <w:p>
      <w:pPr>
        <w:pStyle w:val="BodyText"/>
      </w:pPr>
      <w:r>
        <w:rPr>
          <w:b/>
          <w:bCs/>
        </w:rPr>
        <w:t xml:space="preserve">First,</w:t>
      </w:r>
      <w:r>
        <w:t xml:space="preserve"> </w:t>
      </w:r>
      <w:r>
        <w:t xml:space="preserve">the uneven pattern is itself an opportunity. The resources that break above the line more often than they are mitigated below it — visual above all, along with land use and air quality — are precisely the ones where the mitigation toolbox is thinnest; increased investment in, and standardization of, mitigation approaches for those harder resources could keep more projects on the faster FONSI track, provided the measures genuinely reduce impact rather than relabel it.</w:t>
      </w:r>
    </w:p>
    <w:p>
      <w:pPr>
        <w:pStyle w:val="BodyText"/>
      </w:pPr>
      <w:r>
        <w:rPr>
          <w:b/>
          <w:bCs/>
        </w:rPr>
        <w:t xml:space="preserve">Second,</w:t>
      </w:r>
      <w:r>
        <w:t xml:space="preserve"> </w:t>
      </w:r>
      <w:r>
        <w:t xml:space="preserve">a caveat: the committed mitigation behind a not-significant finding is, more often than not, not tied to a demonstrably enforceable permit condition — especially for cultural, soils/geology, and public-health measures. This leaves open questions about the effectiveness of mitigation as a tool for avoiding in-depth environmental review: a finding is only as sound as the measures behind it are binding.</w:t>
      </w:r>
    </w:p>
    <w:p>
      <w:pPr>
        <w:pStyle w:val="BodyText"/>
      </w:pPr>
      <w:r>
        <w:rPr>
          <w:b/>
          <w:bCs/>
        </w:rPr>
        <w:t xml:space="preserve">Data recommendation: standardize the terminology used for resource areas.</w:t>
      </w:r>
      <w:r>
        <w:t xml:space="preserve"> </w:t>
      </w:r>
      <w:r>
        <w:t xml:space="preserve">The single largest friction in this analysis is that agencies name the same resource in many different ways, and significance language is written project by project. A shared, standardized resource-area vocabulary — of the kind contemplated by CEQ’s NEPA and Permitting Data and Technology Standard — would make significance determinations directly comparable across agencies and would sharpen every finding in this fact sheet.</w:t>
      </w:r>
    </w:p>
    <w:p>
      <w:r>
        <w:pict>
          <v:rect style="width:0;height:1.5pt" o:hralign="center" o:hrstd="t" o:hr="t"/>
        </w:pict>
      </w:r>
    </w:p>
    <w:p>
      <w:pPr>
        <w:pStyle w:val="FirstParagraph"/>
      </w:pPr>
      <w:r>
        <w:rPr>
          <w:i/>
          <w:iCs/>
        </w:rPr>
        <w:t xml:space="preserve">Data: NEPATEC 2.0 — 193 decarbonization FONSI projects and 506 EIS projects. Methods and full results:</w:t>
      </w:r>
      <w:r>
        <w:rPr>
          <w:i/>
          <w:iCs/>
        </w:rPr>
        <w:t xml:space="preserve"> </w:t>
      </w:r>
      <w:hyperlink r:id="rId97">
        <w:r>
          <w:rPr>
            <w:rStyle w:val="Hyperlink"/>
            <w:i/>
            <w:iCs/>
          </w:rPr>
          <w:t xml:space="preserve">Phase 2 Deliverable 2</w:t>
        </w:r>
      </w:hyperlink>
      <w:r>
        <w:rPr>
          <w:i/>
          <w:iCs/>
        </w:rPr>
        <w:t xml:space="preserve">.</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hyperlink" Id="rId97" Target="https://www.kaseyzapatka.com/nepa/phase2/reports/deliverable02.html" TargetMode="External" /></Relationships>
</file>

<file path=word/_rels/footnotes.xml.rels><?xml version="1.0" encoding="UTF-8"?><Relationships xmlns="http://schemas.openxmlformats.org/package/2006/relationships"><Relationship Type="http://schemas.openxmlformats.org/officeDocument/2006/relationships/hyperlink" Id="rId97" Target="https://www.kaseyzapatka.com/nepa/phase2/reports/deliverable0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NEPA Draws the Line: Determinations of Significance</dc:title>
  <dc:creator/>
  <cp:keywords/>
  <dcterms:created xsi:type="dcterms:W3CDTF">2026-08-01T06:24:33Z</dcterms:created>
  <dcterms:modified xsi:type="dcterms:W3CDTF">2026-08-01T06:24:33Z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5: Significance Across Resource Areas</vt:lpwstr>
  </property>
  <property fmtid="{D5CDD505-2E9C-101B-9397-08002B2CF9AE}" pid="12" name="toc-title">
    <vt:lpwstr>Table of contents</vt:lpwstr>
  </property>
</Properties>
</file>