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png" ContentType="image/png"/>
  <Override PartName="/word/media/rId33.png" ContentType="image/png"/>
  <Override PartName="/word/media/rId38.png" ContentType="image/png"/>
  <Override PartName="/word/media/rId28.png" ContentType="image/png"/>
  <Override PartName="/word/media/rId1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Triggers NEPA Review for Decarbonization Projects?</w:t>
      </w:r>
    </w:p>
    <w:p>
      <w:pPr>
        <w:pStyle w:val="Subtitle"/>
      </w:pPr>
      <w:r>
        <w:t xml:space="preserve">NEPA by the Numbers — Fact Sheet 2: The Federal Nexus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Federal funding is the dominant NEPA trigger for decarbonization projects</w:t>
            </w:r>
            <w:r>
              <w:t xml:space="preserve"> </w:t>
            </w:r>
            <w:r>
              <w:t xml:space="preserve">— 9,210 of 20,725 projects (44.4%). DOE’s grant and loan portfolio generates more decarbonization NEPA reviews than any other federal nexus.</w:t>
            </w:r>
          </w:p>
          <w:p>
            <w:pPr>
              <w:pStyle w:val="Compact"/>
              <w:numPr>
                <w:ilvl w:val="0"/>
                <w:numId w:val="1001"/>
              </w:numPr>
            </w:pPr>
            <w:r>
              <w:rPr>
                <w:b/>
                <w:bCs/>
              </w:rPr>
              <w:t xml:space="preserve">But funding-triggered reviews are almost entirely categorically excluded</w:t>
            </w:r>
            <w:r>
              <w:t xml:space="preserve"> </w:t>
            </w:r>
            <w:r>
              <w:t xml:space="preserve">— 99% are resolved through CEs. Exempting federal funding from NEPA would therefore mostly eliminate paperwork determinations that already conclude in days or weeks, not the environmental reviews that delay projects.</w:t>
            </w:r>
          </w:p>
          <w:p>
            <w:pPr>
              <w:pStyle w:val="Compact"/>
              <w:numPr>
                <w:ilvl w:val="0"/>
                <w:numId w:val="1001"/>
              </w:numPr>
            </w:pPr>
            <w:r>
              <w:rPr>
                <w:b/>
                <w:bCs/>
              </w:rPr>
              <w:t xml:space="preserve">The triggers that produce heavyweight reviews are land and permits, not money.</w:t>
            </w:r>
            <w:r>
              <w:t xml:space="preserve"> </w:t>
            </w:r>
            <w:r>
              <w:t xml:space="preserve">Projects triggered by federal land access or federal permits generate proportionally far more EAs and EISs — land disturbance and regulatory licensing carry the review burden.</w:t>
            </w:r>
          </w:p>
          <w:p>
            <w:pPr>
              <w:pStyle w:val="Compact"/>
              <w:numPr>
                <w:ilvl w:val="0"/>
                <w:numId w:val="1001"/>
              </w:numPr>
            </w:pPr>
            <w:r>
              <w:rPr>
                <w:b/>
                <w:bCs/>
              </w:rPr>
              <w:t xml:space="preserve">Trigger patterns follow institutional logic.</w:t>
            </w:r>
            <w:r>
              <w:t xml:space="preserve"> </w:t>
            </w:r>
            <w:r>
              <w:t xml:space="preserve">Transmission projects skew toward the federal power marketing administrations; emerging technologies (carbon capture, hydrokinetic, energy storage) are the most funding-driven of all; and solar and onshore wind are mostly funding-triggered, with BLM land access the clear second nexus.</w:t>
            </w:r>
          </w:p>
          <w:p/>
        </w:tc>
      </w:tr>
    </w:tbl>
    <w:p>
      <w:r>
        <w:pict>
          <v:rect style="width:0;height:1.5pt" o:hralign="center" o:hrstd="t" o:hr="t"/>
        </w:pict>
      </w:r>
    </w:p>
    <w:bookmarkEnd w:id="12"/>
    <w:bookmarkStart w:id="13" w:name="introduction"/>
    <w:p>
      <w:pPr>
        <w:pStyle w:val="Heading1"/>
      </w:pPr>
      <w:r>
        <w:t xml:space="preserve">Introduction</w:t>
      </w:r>
    </w:p>
    <w:p>
      <w:pPr>
        <w:pStyle w:val="FirstParagraph"/>
      </w:pPr>
      <w:r>
        <w:t xml:space="preserve">[[TO BE WRITTEN BY CATF]]</w:t>
      </w:r>
    </w:p>
    <w:bookmarkEnd w:id="13"/>
    <w:bookmarkStart w:id="17" w:name="methodology"/>
    <w:p>
      <w:pPr>
        <w:pStyle w:val="Heading1"/>
      </w:pPr>
      <w:r>
        <w:t xml:space="preserve">Methodology</w:t>
      </w:r>
    </w:p>
    <w:bookmarkStart w:id="14" w:name="scope-and-trigger-definitions"/>
    <w:p>
      <w:pPr>
        <w:pStyle w:val="Heading2"/>
      </w:pPr>
      <w:r>
        <w:t xml:space="preserve">Scope and trigger definitions</w:t>
      </w:r>
    </w:p>
    <w:p>
      <w:pPr>
        <w:pStyle w:val="FirstParagraph"/>
      </w:pPr>
      <w:r>
        <w:t xml:space="preserve">The analysis covers all 20,725 decarbonization projects in NEPATEC 2.0. Each is assigned one primary trigger — the federal nexus that brought it under NEPA:</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jc w:val="left"/>
            </w:pPr>
            <w:r>
              <w:t xml:space="preserve">Trigger</w:t>
            </w:r>
          </w:p>
        </w:tc>
        <w:tc>
          <w:tcPr/>
          <w:p>
            <w:pPr>
              <w:pStyle w:val="Compact"/>
              <w:jc w:val="left"/>
            </w:pPr>
            <w:r>
              <w:t xml:space="preserve">Federal Nexus</w:t>
            </w:r>
          </w:p>
        </w:tc>
      </w:tr>
      <w:tr>
        <w:tc>
          <w:tcPr/>
          <w:p>
            <w:pPr>
              <w:pStyle w:val="Compact"/>
              <w:jc w:val="left"/>
            </w:pPr>
            <w:r>
              <w:rPr>
                <w:b/>
                <w:bCs/>
              </w:rPr>
              <w:t xml:space="preserve">Funding</w:t>
            </w:r>
          </w:p>
        </w:tc>
        <w:tc>
          <w:tcPr/>
          <w:p>
            <w:pPr>
              <w:pStyle w:val="Compact"/>
              <w:jc w:val="left"/>
            </w:pPr>
            <w:r>
              <w:t xml:space="preserve">Federal grant, loan guarantee, or financial assistance (DOE loan programs, IRA grants, REAP)</w:t>
            </w:r>
          </w:p>
        </w:tc>
      </w:tr>
      <w:tr>
        <w:tc>
          <w:tcPr/>
          <w:p>
            <w:pPr>
              <w:pStyle w:val="Compact"/>
              <w:jc w:val="left"/>
            </w:pPr>
            <w:r>
              <w:rPr>
                <w:b/>
                <w:bCs/>
              </w:rPr>
              <w:t xml:space="preserve">Land</w:t>
            </w:r>
          </w:p>
        </w:tc>
        <w:tc>
          <w:tcPr/>
          <w:p>
            <w:pPr>
              <w:pStyle w:val="Compact"/>
              <w:jc w:val="left"/>
            </w:pPr>
            <w:r>
              <w:t xml:space="preserve">A right-of-way, special use permit, or lease on federal land (BLM, National Forest)</w:t>
            </w:r>
          </w:p>
        </w:tc>
      </w:tr>
      <w:tr>
        <w:tc>
          <w:tcPr/>
          <w:p>
            <w:pPr>
              <w:pStyle w:val="Compact"/>
              <w:jc w:val="left"/>
            </w:pPr>
            <w:r>
              <w:rPr>
                <w:b/>
                <w:bCs/>
              </w:rPr>
              <w:t xml:space="preserve">PMA/TVA</w:t>
            </w:r>
          </w:p>
        </w:tc>
        <w:tc>
          <w:tcPr/>
          <w:p>
            <w:pPr>
              <w:pStyle w:val="Compact"/>
              <w:jc w:val="left"/>
            </w:pPr>
            <w:r>
              <w:t xml:space="preserve">A federal power marketing administration (BPA, WAPA) or TVA acting as project proponent</w:t>
            </w:r>
          </w:p>
        </w:tc>
      </w:tr>
      <w:tr>
        <w:tc>
          <w:tcPr/>
          <w:p>
            <w:pPr>
              <w:pStyle w:val="Compact"/>
              <w:jc w:val="left"/>
            </w:pPr>
            <w:r>
              <w:rPr>
                <w:b/>
                <w:bCs/>
              </w:rPr>
              <w:t xml:space="preserve">Direct Action</w:t>
            </w:r>
          </w:p>
        </w:tc>
        <w:tc>
          <w:tcPr/>
          <w:p>
            <w:pPr>
              <w:pStyle w:val="Compact"/>
              <w:jc w:val="left"/>
            </w:pPr>
            <w:r>
              <w:t xml:space="preserve">The federal agency is the proposer — building or operating its own facilities (e.g., national laboratories)</w:t>
            </w:r>
          </w:p>
        </w:tc>
      </w:tr>
      <w:tr>
        <w:tc>
          <w:tcPr/>
          <w:p>
            <w:pPr>
              <w:pStyle w:val="Compact"/>
              <w:jc w:val="left"/>
            </w:pPr>
            <w:r>
              <w:rPr>
                <w:b/>
                <w:bCs/>
              </w:rPr>
              <w:t xml:space="preserve">Permit</w:t>
            </w:r>
          </w:p>
        </w:tc>
        <w:tc>
          <w:tcPr/>
          <w:p>
            <w:pPr>
              <w:pStyle w:val="Compact"/>
              <w:jc w:val="left"/>
            </w:pPr>
            <w:r>
              <w:t xml:space="preserve">A federal license or permit from a regulatory body (FERC license, Section 404 permit)</w:t>
            </w:r>
          </w:p>
        </w:tc>
      </w:tr>
      <w:tr>
        <w:tc>
          <w:tcPr/>
          <w:p>
            <w:pPr>
              <w:pStyle w:val="Compact"/>
              <w:jc w:val="left"/>
            </w:pPr>
            <w:r>
              <w:rPr>
                <w:b/>
                <w:bCs/>
              </w:rPr>
              <w:t xml:space="preserve">Program</w:t>
            </w:r>
          </w:p>
        </w:tc>
        <w:tc>
          <w:tcPr/>
          <w:p>
            <w:pPr>
              <w:pStyle w:val="Compact"/>
              <w:jc w:val="left"/>
            </w:pPr>
            <w:r>
              <w:t xml:space="preserve">A programmatic review, land-use plan, or rulemaking umbrella covers the action</w:t>
            </w:r>
          </w:p>
        </w:tc>
      </w:tr>
      <w:tr>
        <w:tc>
          <w:tcPr/>
          <w:p>
            <w:pPr>
              <w:pStyle w:val="Compact"/>
              <w:jc w:val="left"/>
            </w:pPr>
            <w:r>
              <w:rPr>
                <w:b/>
                <w:bCs/>
              </w:rPr>
              <w:t xml:space="preserve">Property Transaction</w:t>
            </w:r>
          </w:p>
        </w:tc>
        <w:tc>
          <w:tcPr/>
          <w:p>
            <w:pPr>
              <w:pStyle w:val="Compact"/>
              <w:jc w:val="left"/>
            </w:pPr>
            <w:r>
              <w:t xml:space="preserve">A land exchange, disposal, or conveyance of federal property</w:t>
            </w:r>
          </w:p>
        </w:tc>
      </w:tr>
    </w:tbl>
    <w:bookmarkEnd w:id="14"/>
    <w:bookmarkStart w:id="16" w:name="classification-approach-and-caveats"/>
    <w:p>
      <w:pPr>
        <w:pStyle w:val="Heading2"/>
      </w:pPr>
      <w:r>
        <w:t xml:space="preserve">Classification approach and caveats</w:t>
      </w:r>
    </w:p>
    <w:p>
      <w:pPr>
        <w:pStyle w:val="FirstParagraph"/>
      </w:pPr>
      <w:r>
        <w:t xml:space="preserve">Triggers were classified by a five-tier pipeline that starts with deterministic agency-to-trigger mappings and hand-labeled examples, then escalates through regex extraction on titles, document text, and purpose-and-need sections, and finally to machine-learning classification for genuinely ambiguous cases. The pipeline resolved 20,642 of 20,725 projects (99.6%); the remaining 0.4% are confirmed NEPA actions whose trigger could not be reliably identified from available text. Three caveats: (1) triggers are assigned by priority rules when multiple nexuses exist, so secondary triggers (e.g., a funded project on federal land) are not counted here; (2) unknowns concentrate among EAs and EISs, whose longer documents are harder to classify conservatively; and (3) fossil projects have not yet been trigger-classified, so this fact sheet is decarbonization-only. Full detail is in the</w:t>
      </w:r>
      <w:r>
        <w:t xml:space="preserve"> </w:t>
      </w:r>
      <w:hyperlink r:id="rId15">
        <w:r>
          <w:rPr>
            <w:rStyle w:val="Hyperlink"/>
          </w:rPr>
          <w:t xml:space="preserve">Phase 2 Deliverable 1 report</w:t>
        </w:r>
      </w:hyperlink>
      <w:r>
        <w:t xml:space="preserve">.</w:t>
      </w:r>
    </w:p>
    <w:bookmarkEnd w:id="16"/>
    <w:bookmarkEnd w:id="17"/>
    <w:bookmarkStart w:id="48" w:name="results"/>
    <w:p>
      <w:pPr>
        <w:pStyle w:val="Heading1"/>
      </w:pPr>
      <w:r>
        <w:t xml:space="preserve">Results</w:t>
      </w:r>
    </w:p>
    <w:bookmarkStart w:id="22" w:name="Xc6b8d2dff03890bc2f33874cabfaea9bb7183a4"/>
    <w:p>
      <w:pPr>
        <w:pStyle w:val="Heading2"/>
      </w:pPr>
      <w:r>
        <w:t xml:space="preserve">Funding dominates the trigger distribution</w:t>
      </w:r>
    </w:p>
    <w:p>
      <w:pPr>
        <w:pStyle w:val="FirstParagraph"/>
      </w:pPr>
      <w:r>
        <w:t xml:space="preserve">44.4% of all decarbonization NEPA reviews — more than two in five — exist because a federal agency provided money (</w:t>
      </w:r>
      <w:hyperlink w:anchor="fig-trigger-counts">
        <w:r>
          <w:rPr>
            <w:rStyle w:val="Hyperlink"/>
          </w:rPr>
          <w:t xml:space="preserve">Figure 1</w:t>
        </w:r>
      </w:hyperlink>
      <w:r>
        <w:t xml:space="preserve">). Land access is second (18.3%), reflecting utility-scale renewables on BLM and National Forest land, followed by the power marketing administrations and TVA (17.1%) and direct federal action (15.3%), the latter dominated by DOE’s own facilities and laboratories.</w:t>
      </w:r>
    </w:p>
    <w:tbl>
      <w:tblPr>
        <w:tblStyle w:val="Table"/>
        <w:tblW w:type="pct" w:w="5000"/>
        <w:tblLayout w:type="fixed"/>
        <w:tblLook w:firstRow="0" w:lastRow="0" w:firstColumn="0" w:lastColumn="0" w:noHBand="0" w:noVBand="0" w:val="0000"/>
      </w:tblPr>
      <w:tblGrid>
        <w:gridCol w:w="7920"/>
      </w:tblGrid>
      <w:tr>
        <w:tc>
          <w:tcPr/>
          <w:bookmarkStart w:id="21" w:name="fig-trigger-counts"/>
          <w:p>
            <w:pPr>
              <w:pStyle w:val="Compact"/>
              <w:jc w:val="center"/>
            </w:pPr>
            <w:r>
              <w:drawing>
                <wp:inline>
                  <wp:extent cx="5067300" cy="2787015"/>
                  <wp:effectExtent b="0" l="0" r="0" t="0"/>
                  <wp:docPr descr="" title="" id="19" name="Picture"/>
                  <a:graphic>
                    <a:graphicData uri="http://schemas.openxmlformats.org/drawingml/2006/picture">
                      <pic:pic>
                        <pic:nvPicPr>
                          <pic:cNvPr descr="../output/factsheet/figures/fs2_trigger_counts.png" id="20" name="Picture"/>
                          <pic:cNvPicPr>
                            <a:picLocks noChangeArrowheads="1" noChangeAspect="1"/>
                          </pic:cNvPicPr>
                        </pic:nvPicPr>
                        <pic:blipFill>
                          <a:blip r:embed="rId18"/>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Primary NEPA trigger across all decarbonization projects in NEPATEC 2.0.</w:t>
            </w:r>
          </w:p>
          <w:bookmarkEnd w:id="21"/>
        </w:tc>
      </w:tr>
    </w:tbl>
    <w:bookmarkEnd w:id="22"/>
    <w:bookmarkStart w:id="27" w:name="Xe7527c306bb75b1b31786e14763e3ff636b4e1f"/>
    <w:p>
      <w:pPr>
        <w:pStyle w:val="Heading2"/>
      </w:pPr>
      <w:r>
        <w:t xml:space="preserve">Each review process draws on a different trigger mix</w:t>
      </w:r>
    </w:p>
    <w:p>
      <w:pPr>
        <w:pStyle w:val="FirstParagraph"/>
      </w:pPr>
      <w:r>
        <w:t xml:space="preserve">The three review processes have distinct trigger profiles (</w:t>
      </w:r>
      <w:hyperlink w:anchor="fig-trigger-by-process">
        <w:r>
          <w:rPr>
            <w:rStyle w:val="Hyperlink"/>
          </w:rPr>
          <w:t xml:space="preserve">Figure 2</w:t>
        </w:r>
      </w:hyperlink>
      <w:r>
        <w:t xml:space="preserve">). CEs are dominated by funding — DOE’s clean energy grant and loan programs generate a high volume of low-complexity actions. EAs show the most balanced mix. EISs skew toward land, PMA/TVA, and permits: the larger, more contested projects tend to be sited on public land, federally built, or federally licensed.</w:t>
      </w:r>
    </w:p>
    <w:tbl>
      <w:tblPr>
        <w:tblStyle w:val="Table"/>
        <w:tblW w:type="pct" w:w="5000"/>
        <w:tblLayout w:type="fixed"/>
        <w:tblLook w:firstRow="0" w:lastRow="0" w:firstColumn="0" w:lastColumn="0" w:noHBand="0" w:noVBand="0" w:val="0000"/>
      </w:tblPr>
      <w:tblGrid>
        <w:gridCol w:w="7920"/>
      </w:tblGrid>
      <w:tr>
        <w:tc>
          <w:tcPr/>
          <w:bookmarkStart w:id="26" w:name="fig-trigger-by-process"/>
          <w:p>
            <w:pPr>
              <w:pStyle w:val="Compact"/>
              <w:jc w:val="center"/>
            </w:pPr>
            <w:r>
              <w:drawing>
                <wp:inline>
                  <wp:extent cx="4800600" cy="3900487"/>
                  <wp:effectExtent b="0" l="0" r="0" t="0"/>
                  <wp:docPr descr="" title="" id="24" name="Picture"/>
                  <a:graphic>
                    <a:graphicData uri="http://schemas.openxmlformats.org/drawingml/2006/picture">
                      <pic:pic>
                        <pic:nvPicPr>
                          <pic:cNvPr descr="../output/factsheet/figures/fig2_trigger_by_process.png" id="25" name="Picture"/>
                          <pic:cNvPicPr>
                            <a:picLocks noChangeArrowheads="1" noChangeAspect="1"/>
                          </pic:cNvPicPr>
                        </pic:nvPicPr>
                        <pic:blipFill>
                          <a:blip r:embed="rId23"/>
                          <a:stretch>
                            <a:fillRect/>
                          </a:stretch>
                        </pic:blipFill>
                        <pic:spPr bwMode="auto">
                          <a:xfrm>
                            <a:off x="0" y="0"/>
                            <a:ext cx="4800600" cy="3900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Primary NEPA trigger composition within each review process (decarbonization projects). Percentage labels shown for segments &gt; 5%.</w:t>
            </w:r>
          </w:p>
          <w:bookmarkEnd w:id="26"/>
        </w:tc>
      </w:tr>
    </w:tbl>
    <w:bookmarkEnd w:id="27"/>
    <w:bookmarkStart w:id="32" w:name="X58a353688734eb00dfdfd81e41a4b784365675e"/>
    <w:p>
      <w:pPr>
        <w:pStyle w:val="Heading2"/>
      </w:pPr>
      <w:r>
        <w:t xml:space="preserve">Trigger class predicts the level of review</w:t>
      </w:r>
    </w:p>
    <w:p>
      <w:pPr>
        <w:pStyle w:val="FirstParagraph"/>
      </w:pPr>
      <w:r>
        <w:t xml:space="preserve">Read the other way, the same data reveal a sharp split by trigger (</w:t>
      </w:r>
      <w:hyperlink w:anchor="fig-process-by-trigger">
        <w:r>
          <w:rPr>
            <w:rStyle w:val="Hyperlink"/>
          </w:rPr>
          <w:t xml:space="preserve">Figure 3</w:t>
        </w:r>
      </w:hyperlink>
      <w:r>
        <w:t xml:space="preserve">). Funding-triggered projects are 99% CEs: of the 9,210 reviews that exist because of a federal grant or loan, only 116 escalated to an EA and just 22 to a full EIS. Land- and permit-triggered projects carry far more review weight — 14% and 46% of them, respectively, are EAs or EISs. The permit class is the most striking: two in five permit-triggered reviews (40%) are full EISs, by far the highest EIS rate of any trigger. And in absolute terms, federal land access produced 308 EISs — more than any other nexus — even though the land class is less than half the size of the funding class. The gradient is consistent: the further a federal hook moves from writing a check toward authorizing ground disturbance or licensing a facility, the heavier the review it generates.</w:t>
      </w:r>
    </w:p>
    <w:tbl>
      <w:tblPr>
        <w:tblStyle w:val="Table"/>
        <w:tblW w:type="pct" w:w="5000"/>
        <w:tblLayout w:type="fixed"/>
        <w:tblLook w:firstRow="0" w:lastRow="0" w:firstColumn="0" w:lastColumn="0" w:noHBand="0" w:noVBand="0" w:val="0000"/>
      </w:tblPr>
      <w:tblGrid>
        <w:gridCol w:w="7920"/>
      </w:tblGrid>
      <w:tr>
        <w:tc>
          <w:tcPr/>
          <w:bookmarkStart w:id="31" w:name="fig-process-by-trigger"/>
          <w:p>
            <w:pPr>
              <w:pStyle w:val="Compact"/>
              <w:jc w:val="center"/>
            </w:pPr>
            <w:r>
              <w:drawing>
                <wp:inline>
                  <wp:extent cx="5067300" cy="2787015"/>
                  <wp:effectExtent b="0" l="0" r="0" t="0"/>
                  <wp:docPr descr="" title="" id="29" name="Picture"/>
                  <a:graphic>
                    <a:graphicData uri="http://schemas.openxmlformats.org/drawingml/2006/picture">
                      <pic:pic>
                        <pic:nvPicPr>
                          <pic:cNvPr descr="../output/factsheet/figures/fs2_process_by_trigger.png" id="30" name="Picture"/>
                          <pic:cNvPicPr>
                            <a:picLocks noChangeArrowheads="1" noChangeAspect="1"/>
                          </pic:cNvPicPr>
                        </pic:nvPicPr>
                        <pic:blipFill>
                          <a:blip r:embed="rId28"/>
                          <a:stretch>
                            <a:fillRect/>
                          </a:stretch>
                        </pic:blipFill>
                        <pic:spPr bwMode="auto">
                          <a:xfrm>
                            <a:off x="0" y="0"/>
                            <a:ext cx="5067300" cy="27870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Share of CE, EA, and EIS reviews within each primary trigger class (decarbonization projects; the small Unknown class shown for completeness). Right-side labels show total projects.</w:t>
            </w:r>
          </w:p>
          <w:bookmarkEnd w:id="31"/>
        </w:tc>
      </w:tr>
    </w:tbl>
    <w:bookmarkEnd w:id="32"/>
    <w:bookmarkStart w:id="37" w:name="Xca0104d7e7d980d0baee984dd4d40ef1c67b5b5"/>
    <w:p>
      <w:pPr>
        <w:pStyle w:val="Heading2"/>
      </w:pPr>
      <w:r>
        <w:t xml:space="preserve">Department jurisdiction shapes the trigger mix</w:t>
      </w:r>
    </w:p>
    <w:p>
      <w:pPr>
        <w:pStyle w:val="FirstParagraph"/>
      </w:pPr>
      <w:r>
        <w:t xml:space="preserve">Department patterns follow jurisdiction (</w:t>
      </w:r>
      <w:hyperlink w:anchor="fig-dept">
        <w:r>
          <w:rPr>
            <w:rStyle w:val="Hyperlink"/>
          </w:rPr>
          <w:t xml:space="preserve">Figure 4</w:t>
        </w:r>
      </w:hyperlink>
      <w:r>
        <w:t xml:space="preserve">): DOE projects are largely funding-triggered (with sizable PMA and direct-action shares from the power administrations and national laboratories housed within DOE); Interior (primarily BLM) skews toward land; Agriculture (Forest Service) mirrors Interior at smaller scale.</w:t>
      </w:r>
    </w:p>
    <w:tbl>
      <w:tblPr>
        <w:tblStyle w:val="Table"/>
        <w:tblW w:type="pct" w:w="5000"/>
        <w:tblLayout w:type="fixed"/>
        <w:tblLook w:firstRow="0" w:lastRow="0" w:firstColumn="0" w:lastColumn="0" w:noHBand="0" w:noVBand="0" w:val="0000"/>
      </w:tblPr>
      <w:tblGrid>
        <w:gridCol w:w="7920"/>
      </w:tblGrid>
      <w:tr>
        <w:tc>
          <w:tcPr/>
          <w:bookmarkStart w:id="36" w:name="fig-dept"/>
          <w:p>
            <w:pPr>
              <w:pStyle w:val="Compact"/>
              <w:jc w:val="center"/>
            </w:pPr>
            <w:r>
              <w:drawing>
                <wp:inline>
                  <wp:extent cx="5334000" cy="2872153"/>
                  <wp:effectExtent b="0" l="0" r="0" t="0"/>
                  <wp:docPr descr="" title="" id="34" name="Picture"/>
                  <a:graphic>
                    <a:graphicData uri="http://schemas.openxmlformats.org/drawingml/2006/picture">
                      <pic:pic>
                        <pic:nvPicPr>
                          <pic:cNvPr descr="../output/factsheet/figures/fig4_department_trigger_heatmap.png" id="35" name="Picture"/>
                          <pic:cNvPicPr>
                            <a:picLocks noChangeArrowheads="1" noChangeAspect="1"/>
                          </pic:cNvPicPr>
                        </pic:nvPicPr>
                        <pic:blipFill>
                          <a:blip r:embed="rId33"/>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NEPA trigger distribution by federal parent department. Each row sums to 100%.</w:t>
            </w:r>
          </w:p>
          <w:bookmarkEnd w:id="36"/>
        </w:tc>
      </w:tr>
    </w:tbl>
    <w:bookmarkEnd w:id="37"/>
    <w:bookmarkStart w:id="42" w:name="technology-mirrors-the-same-nexus-logic"/>
    <w:p>
      <w:pPr>
        <w:pStyle w:val="Heading2"/>
      </w:pPr>
      <w:r>
        <w:t xml:space="preserve">Technology mirrors the same nexus logic</w:t>
      </w:r>
    </w:p>
    <w:p>
      <w:pPr>
        <w:pStyle w:val="FirstParagraph"/>
      </w:pPr>
      <w:r>
        <w:t xml:space="preserve">Technology patterns reflect the same nexus logic (</w:t>
      </w:r>
      <w:hyperlink w:anchor="fig-tech">
        <w:r>
          <w:rPr>
            <w:rStyle w:val="Hyperlink"/>
          </w:rPr>
          <w:t xml:space="preserve">Figure 5</w:t>
        </w:r>
      </w:hyperlink>
      <w:r>
        <w:t xml:space="preserve">). The most funding-driven technologies are the emerging ones: carbon capture (91%) and hydrokinetic (91%) top the portfolio, with the renewable catch-all category (89%) and energy storage (86%) just behind. These technologies reach NEPA almost exclusively through DOE’s grant programs, because they rarely sit on federal land or require a federal license. Solar and onshore wind are also mostly funding-triggered (74% and 55%), but with land (BLM rights-of-way) a substantial second nexus (17% and 24%). Transmission is the mirror image — the lowest funding share of any technology (9%) and the highest PMA/TVA share (48%), because BPA and WAPA build and maintain federal lines. Hydropower and nuclear stand out for their permit shares (17% and 42% — FERC licensing of non-federal dams; NRC licensing).</w:t>
      </w:r>
    </w:p>
    <w:tbl>
      <w:tblPr>
        <w:tblStyle w:val="Table"/>
        <w:tblW w:type="pct" w:w="5000"/>
        <w:tblLayout w:type="fixed"/>
        <w:tblLook w:firstRow="0" w:lastRow="0" w:firstColumn="0" w:lastColumn="0" w:noHBand="0" w:noVBand="0" w:val="0000"/>
      </w:tblPr>
      <w:tblGrid>
        <w:gridCol w:w="7920"/>
      </w:tblGrid>
      <w:tr>
        <w:tc>
          <w:tcPr/>
          <w:bookmarkStart w:id="41" w:name="fig-tech"/>
          <w:p>
            <w:pPr>
              <w:pStyle w:val="Compact"/>
              <w:jc w:val="center"/>
            </w:pPr>
            <w:r>
              <w:drawing>
                <wp:inline>
                  <wp:extent cx="5334000" cy="3151909"/>
                  <wp:effectExtent b="0" l="0" r="0" t="0"/>
                  <wp:docPr descr="" title="" id="39" name="Picture"/>
                  <a:graphic>
                    <a:graphicData uri="http://schemas.openxmlformats.org/drawingml/2006/picture">
                      <pic:pic>
                        <pic:nvPicPr>
                          <pic:cNvPr descr="../output/factsheet/figures/fig5_trigger_by_technology.png" id="40" name="Picture"/>
                          <pic:cNvPicPr>
                            <a:picLocks noChangeArrowheads="1" noChangeAspect="1"/>
                          </pic:cNvPicPr>
                        </pic:nvPicPr>
                        <pic:blipFill>
                          <a:blip r:embed="rId38"/>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Primary NEPA trigger by energy technology (technologies with at least 50 projects). Right-side labels show total projects.</w:t>
            </w:r>
          </w:p>
          <w:bookmarkEnd w:id="41"/>
        </w:tc>
      </w:tr>
    </w:tbl>
    <w:bookmarkEnd w:id="42"/>
    <w:bookmarkStart w:id="47" w:name="Xffd9cd9707676f22835a7b10b53d7ea4c3ca0c6"/>
    <w:p>
      <w:pPr>
        <w:pStyle w:val="Heading2"/>
      </w:pPr>
      <w:r>
        <w:t xml:space="preserve">Few documents disclose a funding amount, and those that do skew small</w:t>
      </w:r>
    </w:p>
    <w:p>
      <w:pPr>
        <w:pStyle w:val="FirstParagraph"/>
      </w:pPr>
      <w:r>
        <w:t xml:space="preserve">For funding-triggered projects, we also extracted the dollar amounts where documents state them, though most NEPA documents do not report an award figure. Only a fraction of funding-triggered reviews contain an extractable amount, so the distribution in</w:t>
      </w:r>
      <w:r>
        <w:t xml:space="preserve"> </w:t>
      </w:r>
      <w:hyperlink w:anchor="fig-funding-amounts">
        <w:r>
          <w:rPr>
            <w:rStyle w:val="Hyperlink"/>
          </w:rPr>
          <w:t xml:space="preserve">Figure 6</w:t>
        </w:r>
      </w:hyperlink>
      <w:r>
        <w:t xml:space="preserve"> </w:t>
      </w:r>
      <w:r>
        <w:t xml:space="preserve">describes typical award sizes among reviews that disclose them, not the full portfolio. With that caution, the extracted amounts show most disclosed grant-scale awards falling in the tens of thousands to low millions of dollars, with loan guarantees and cooperative agreements reaching far higher.</w:t>
      </w:r>
    </w:p>
    <w:tbl>
      <w:tblPr>
        <w:tblStyle w:val="Table"/>
        <w:tblW w:type="pct" w:w="5000"/>
        <w:tblLayout w:type="fixed"/>
        <w:tblLook w:firstRow="0" w:lastRow="0" w:firstColumn="0" w:lastColumn="0" w:noHBand="0" w:noVBand="0" w:val="0000"/>
      </w:tblPr>
      <w:tblGrid>
        <w:gridCol w:w="7920"/>
      </w:tblGrid>
      <w:tr>
        <w:tc>
          <w:tcPr/>
          <w:bookmarkStart w:id="46" w:name="fig-funding-amounts"/>
          <w:p>
            <w:pPr>
              <w:pStyle w:val="Compact"/>
              <w:jc w:val="center"/>
            </w:pPr>
            <w:r>
              <w:drawing>
                <wp:inline>
                  <wp:extent cx="5067300" cy="2799080"/>
                  <wp:effectExtent b="0" l="0" r="0" t="0"/>
                  <wp:docPr descr="" title="" id="44" name="Picture"/>
                  <a:graphic>
                    <a:graphicData uri="http://schemas.openxmlformats.org/drawingml/2006/picture">
                      <pic:pic>
                        <pic:nvPicPr>
                          <pic:cNvPr descr="../output/factsheet/figures/fig11_funding_amount_distribution.png" id="45" name="Picture"/>
                          <pic:cNvPicPr>
                            <a:picLocks noChangeArrowheads="1" noChangeAspect="1"/>
                          </pic:cNvPicPr>
                        </pic:nvPicPr>
                        <pic:blipFill>
                          <a:blip r:embed="rId43"/>
                          <a:stretch>
                            <a:fillRect/>
                          </a:stretch>
                        </pic:blipFill>
                        <pic:spPr bwMode="auto">
                          <a:xfrm>
                            <a:off x="0" y="0"/>
                            <a:ext cx="5067300" cy="2799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Distribution of extracted federal funding amounts by mechanism type, among funding-triggered decarbonization reviews whose documents state an amount. Values above $5M top-coded; classes with fewer than 10 extracted amounts excluded. Violin = distribution; box = interquartile range with median.</w:t>
            </w:r>
          </w:p>
          <w:bookmarkEnd w:id="46"/>
        </w:tc>
      </w:tr>
    </w:tbl>
    <w:bookmarkEnd w:id="47"/>
    <w:bookmarkEnd w:id="48"/>
    <w:bookmarkStart w:id="49" w:name="conclusion-and-policy-implications"/>
    <w:p>
      <w:pPr>
        <w:pStyle w:val="Heading1"/>
      </w:pPr>
      <w:r>
        <w:t xml:space="preserve">Conclusion and Policy Implications</w:t>
      </w:r>
    </w:p>
    <w:p>
      <w:pPr>
        <w:pStyle w:val="FirstParagraph"/>
      </w:pPr>
      <w:r>
        <w:rPr>
          <w:b/>
          <w:bCs/>
        </w:rPr>
        <w:t xml:space="preserve">More than two in five decarbonization NEPA reviews (44.4%) are triggered by federal funding — and those reviews are almost entirely categorically excluded (99%).</w:t>
      </w:r>
      <w:r>
        <w:t xml:space="preserve"> </w:t>
      </w:r>
      <w:r>
        <w:t xml:space="preserve">A reform that exempted federal financial assistance from NEPA would therefore remove a large</w:t>
      </w:r>
      <w:r>
        <w:t xml:space="preserve"> </w:t>
      </w:r>
      <w:r>
        <w:rPr>
          <w:i/>
          <w:iCs/>
        </w:rPr>
        <w:t xml:space="preserve">number</w:t>
      </w:r>
      <w:r>
        <w:t xml:space="preserve"> </w:t>
      </w:r>
      <w:r>
        <w:t xml:space="preserve">of reviews while barely touching the reviews that take meaningful time: the median CE concludes in under a month, and funding-triggered projects rarely escalate to an EA or EIS. Exempting funding is unlikely to produce meaningful acceleration for decarbonization deployment.</w:t>
      </w:r>
    </w:p>
    <w:p>
      <w:pPr>
        <w:pStyle w:val="BodyText"/>
      </w:pPr>
      <w:r>
        <w:t xml:space="preserve">The reviews that consume time and attention — EAs and EISs for projects on federal land, federally built transmission, and federally licensed facilities — arise from triggers that scope-narrowing proposals generally do not (and realistically cannot) touch. Reformers focused on accelerating decarbonization deployment should weigh the administrative savings of trigger exemptions against their limited effect on the heavyweight reviews, and consider whether the same effort directed at land- and permit-triggered pathways — or at the programmatic and tiering tools examined in our other fact sheets — would buy more speed.</w:t>
      </w:r>
    </w:p>
    <w:p>
      <w:pPr>
        <w:pStyle w:val="BodyText"/>
      </w:pPr>
      <w:r>
        <w:t xml:space="preserve">Two caveats bound these conclusions. The trigger classes that generate the heaviest reviews are also the smallest — only 319 decarbonization projects are permit-triggered, and 53 are property transactions — so process shares for the rare classes rest on far fewer projects than the funding figures and should be read with corresponding caution. And because each project is assigned a single primary trigger, projects with several federal hooks — a funded project on federal land, a licensed dam that also received a grant — are counted once, understating how often the heavyweight nexuses are in play. Both limitations trace to the same root: nothing in the NEPA process requires an agency to record</w:t>
      </w:r>
      <w:r>
        <w:t xml:space="preserve"> </w:t>
      </w:r>
      <w:r>
        <w:rPr>
          <w:i/>
          <w:iCs/>
        </w:rPr>
        <w:t xml:space="preserve">why</w:t>
      </w:r>
      <w:r>
        <w:t xml:space="preserve"> </w:t>
      </w:r>
      <w:r>
        <w:t xml:space="preserve">NEPA applied. Building trigger identification into NEPA metadata — a structured field naming the federal nexus, or all of them when several apply, captured at the time of review — would replace after-the-fact classification like ours with an authoritative record, just as the CEQ NEPA and Permitting Data and Technology Standard would do for timelines.</w:t>
      </w:r>
    </w:p>
    <w:p>
      <w:r>
        <w:pict>
          <v:rect style="width:0;height:1.5pt" o:hralign="center" o:hrstd="t" o:hr="t"/>
        </w:pict>
      </w:r>
    </w:p>
    <w:p>
      <w:pPr>
        <w:pStyle w:val="FirstParagraph"/>
      </w:pPr>
      <w:r>
        <w:rPr>
          <w:i/>
          <w:iCs/>
        </w:rPr>
        <w:t xml:space="preserve">Data: NEPATEC 2.0, 20,725 decarbonization projects. Methods and full results:</w:t>
      </w:r>
      <w:r>
        <w:rPr>
          <w:i/>
          <w:iCs/>
        </w:rPr>
        <w:t xml:space="preserve"> </w:t>
      </w:r>
      <w:hyperlink r:id="rId15">
        <w:r>
          <w:rPr>
            <w:rStyle w:val="Hyperlink"/>
            <w:i/>
            <w:iCs/>
          </w:rPr>
          <w:t xml:space="preserve">Phase 2 Deliverable 1</w:t>
        </w:r>
      </w:hyperlink>
      <w:r>
        <w:rPr>
          <w:i/>
          <w:iCs/>
        </w:rPr>
        <w:t xml:space="preserve">.</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hyperlink" Id="rId15" Target="https://www.kaseyzapatka.com/nepa/phase2/reports/deliverable01.html" TargetMode="External" /></Relationships>
</file>

<file path=word/_rels/footnotes.xml.rels><?xml version="1.0" encoding="UTF-8"?><Relationships xmlns="http://schemas.openxmlformats.org/package/2006/relationships"><Relationship Type="http://schemas.openxmlformats.org/officeDocument/2006/relationships/hyperlink" Id="rId15" Target="https://www.kaseyzapatka.com/nepa/phase2/reports/deliverable0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Triggers NEPA Review for Decarbonization Projects?</dc:title>
  <dc:creator/>
  <cp:keywords/>
  <dcterms:created xsi:type="dcterms:W3CDTF">2026-08-01T05:54:56Z</dcterms:created>
  <dcterms:modified xsi:type="dcterms:W3CDTF">2026-08-01T05:54:56Z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2: The Federal Nexus</vt:lpwstr>
  </property>
  <property fmtid="{D5CDD505-2E9C-101B-9397-08002B2CF9AE}" pid="12" name="toc-title">
    <vt:lpwstr>Table of contents</vt:lpwstr>
  </property>
</Properties>
</file>