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7.png" ContentType="image/png"/>
  <Override PartName="/word/media/rId24.png" ContentType="image/png"/>
  <Override PartName="/word/media/rId51.png" ContentType="image/png"/>
  <Override PartName="/word/media/rId30.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Scaling</w:t>
      </w:r>
      <w:r>
        <w:t xml:space="preserve"> </w:t>
      </w:r>
      <w:r>
        <w:t xml:space="preserve">Categorical</w:t>
      </w:r>
      <w:r>
        <w:t xml:space="preserve"> </w:t>
      </w:r>
      <w:r>
        <w:t xml:space="preserve">Exclusions:</w:t>
      </w:r>
      <w:r>
        <w:t xml:space="preserve"> </w:t>
      </w:r>
      <w:r>
        <w:t xml:space="preserve">Expand,</w:t>
      </w:r>
      <w:r>
        <w:t xml:space="preserve"> </w:t>
      </w:r>
      <w:r>
        <w:t xml:space="preserve">Adopt,</w:t>
      </w:r>
      <w:r>
        <w:t xml:space="preserve"> </w:t>
      </w:r>
      <w:r>
        <w:t xml:space="preserve">Develop</w:t>
      </w:r>
    </w:p>
    <w:p>
      <w:pPr>
        <w:pStyle w:val="Subtitle"/>
      </w:pPr>
      <w:r>
        <w:t xml:space="preserve">NEPA</w:t>
      </w:r>
      <w:r>
        <w:t xml:space="preserve"> </w:t>
      </w:r>
      <w:r>
        <w:t xml:space="preserve">by</w:t>
      </w:r>
      <w:r>
        <w:t xml:space="preserve"> </w:t>
      </w:r>
      <w:r>
        <w:t xml:space="preserve">the</w:t>
      </w:r>
      <w:r>
        <w:t xml:space="preserve"> </w:t>
      </w:r>
      <w:r>
        <w:t xml:space="preserve">Numbers</w:t>
      </w:r>
      <w:r>
        <w:t xml:space="preserve"> </w:t>
      </w:r>
      <w:r>
        <w:t xml:space="preserve">—</w:t>
      </w:r>
      <w:r>
        <w:t xml:space="preserve"> </w:t>
      </w:r>
      <w:r>
        <w:t xml:space="preserve">Fact</w:t>
      </w:r>
      <w:r>
        <w:t xml:space="preserve"> </w:t>
      </w:r>
      <w:r>
        <w:t xml:space="preserve">Sheet</w:t>
      </w:r>
      <w:r>
        <w:t xml:space="preserve"> </w:t>
      </w:r>
      <w:r>
        <w:t xml:space="preserve">3:</w:t>
      </w:r>
      <w:r>
        <w:t xml:space="preserve"> </w:t>
      </w:r>
      <w:r>
        <w:t xml:space="preserve">Categorical</w:t>
      </w:r>
      <w:r>
        <w:t xml:space="preserve"> </w:t>
      </w:r>
      <w:r>
        <w:t xml:space="preserve">Exclusions</w:t>
      </w:r>
    </w:p>
    <w:p>
      <w:pPr>
        <w:pStyle w:val="Date"/>
      </w:pPr>
      <w:r>
        <w:t xml:space="preserve">July</w:t>
      </w:r>
      <w:r>
        <w:t xml:space="preserve"> </w:t>
      </w:r>
      <w:r>
        <w:t xml:space="preserve">24,</w:t>
      </w:r>
      <w:r>
        <w:t xml:space="preserve"> </w:t>
      </w:r>
      <w:r>
        <w:t xml:space="preserve">2026</w:t>
      </w:r>
    </w:p>
    <w:bookmarkStart w:id="23" w:name="key-findings"/>
    <w:p>
      <w:pPr>
        <w:pStyle w:val="Heading2"/>
      </w:pPr>
      <w:r>
        <w:t xml:space="preserve">Key Findings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Findings</w:t>
            </w:r>
          </w:p>
        </w:tc>
      </w:tr>
      <w:tr>
        <w:trPr>
          <w:cantSplit/>
        </w:trPr>
        <w:tc>
          <w:tcPr>
            <w:tcMar>
              <w:top w:w="108" w:type="dxa"/>
              <w:bottom w:w="108" w:type="dxa"/>
            </w:tcMar>
          </w:tcPr>
          <w:p>
            <w:pPr>
              <w:numPr>
                <w:ilvl w:val="0"/>
                <w:numId w:val="1001"/>
              </w:numPr>
              <w:pStyle w:val="Compact"/>
            </w:pPr>
            <w:r>
              <w:rPr>
                <w:bCs/>
                <w:b/>
              </w:rPr>
              <w:t xml:space="preserve">Every clean-energy Finding of No Significant Impact (FONSI) was systematically screened for categorical exclusion (CE) opportunities.</w:t>
            </w:r>
            <w:r>
              <w:t xml:space="preserve"> </w:t>
            </w:r>
            <w:r>
              <w:t xml:space="preserve">Placing all 451 decarbonization FONSIs on a technology × action grid and matching each cell against the 2,105 existing federal CEs yields 21 adopt, 2 expand, and 17 develop candidate cells — no category was hand-picked.</w:t>
            </w:r>
          </w:p>
          <w:p>
            <w:pPr>
              <w:numPr>
                <w:ilvl w:val="0"/>
                <w:numId w:val="1001"/>
              </w:numPr>
              <w:pStyle w:val="Compact"/>
            </w:pPr>
            <w:r>
              <w:rPr>
                <w:bCs/>
                <w:b/>
              </w:rPr>
              <w:t xml:space="preserve">The single strongest opportunity is expanding an existing transmission CE.</w:t>
            </w:r>
            <w:r>
              <w:t xml:space="preserve"> </w:t>
            </w:r>
            <w:r>
              <w:t xml:space="preserve">26 bounded, low-impact transmission-upgrade FONSIs across 12 states match TVA’s existing exclusions for in-corridor work — but long rebuilds exceed the CE’s ~25-mile cap. Widening that mileage limit is the highest-volume, best-evidenced move.</w:t>
            </w:r>
          </w:p>
          <w:p>
            <w:pPr>
              <w:numPr>
                <w:ilvl w:val="0"/>
                <w:numId w:val="1001"/>
              </w:numPr>
              <w:pStyle w:val="Compact"/>
            </w:pPr>
            <w:r>
              <w:rPr>
                <w:bCs/>
                <w:b/>
              </w:rPr>
              <w:t xml:space="preserve">Adopting a peer agency’s CE — now explicitly authorized by the FRA — is well-precedented.</w:t>
            </w:r>
            <w:r>
              <w:t xml:space="preserve"> </w:t>
            </w:r>
            <w:r>
              <w:t xml:space="preserve">317 existing CEs already have a near-twin at another agency, forming 130 shared action families. Cross-agency convergence on shared CEs is how the landscape already works.</w:t>
            </w:r>
          </w:p>
          <w:p>
            <w:pPr>
              <w:numPr>
                <w:ilvl w:val="0"/>
                <w:numId w:val="1001"/>
              </w:numPr>
              <w:pStyle w:val="Compact"/>
            </w:pPr>
            <w:r>
              <w:rPr>
                <w:bCs/>
                <w:b/>
              </w:rPr>
              <w:t xml:space="preserve">Most decarbonization FONSIs (69%) rely on committed mitigation, and that mitigation language is project-specific</w:t>
            </w:r>
            <w:r>
              <w:t xml:space="preserve"> </w:t>
            </w:r>
            <w:r>
              <w:t xml:space="preserve">— no mitigation phrasing recurs across projects. A defensible new CE must encode recurring significance thresholds as design criteria, not copy any project’s mitigation commitments.</w:t>
            </w:r>
          </w:p>
          <w:p>
            <w:pPr>
              <w:numPr>
                <w:ilvl w:val="0"/>
                <w:numId w:val="1001"/>
              </w:numPr>
              <w:pStyle w:val="Compact"/>
            </w:pPr>
            <w:r>
              <w:rPr>
                <w:bCs/>
                <w:b/>
              </w:rPr>
              <w:t xml:space="preserve">The number of FONSIs is too small to justify specific brand-new CEs today, but the method scales.</w:t>
            </w:r>
            <w:r>
              <w:t xml:space="preserve"> </w:t>
            </w:r>
            <w:r>
              <w:t xml:space="preserve">With more data — a bigger corpus and post-FRA records — the same machinery can surface CE candidates for expert review.</w:t>
            </w:r>
          </w:p>
        </w:tc>
      </w:tr>
    </w:tbl>
    <w:p>
      <w:r>
        <w:pict>
          <v:rect style="width:0;height:1.5pt" o:hralign="center" o:hrstd="t" o:hr="t"/>
        </w:pict>
      </w:r>
    </w:p>
    <w:bookmarkEnd w:id="23"/>
    <w:bookmarkStart w:id="28" w:name="introduction"/>
    <w:p>
      <w:pPr>
        <w:pStyle w:val="Heading1"/>
      </w:pPr>
      <w:r>
        <w:t xml:space="preserve">Introduction</w:t>
      </w:r>
    </w:p>
    <w:p>
      <w:pPr>
        <w:pStyle w:val="FirstParagraph"/>
      </w:pPr>
      <w:r>
        <w:t xml:space="preserve">Categorical exclusions are NEPA’s fastest pathway, and its most common one. A CE covers a class of actions that an agency has determined, based on experience, does not individually or cumulatively have significant environmental effects. Once a class is established in an agency’s NEPA procedures, individual actions in that class are documented in days or weeks rather than the months (EA) or years (EIS) that bespoke analysis requires. The integrity of the tool depends on the class being genuinely low-impact — a CE is a determination backed by evidence and expert judgment, not a loophole.</w:t>
      </w:r>
    </w:p>
    <w:p>
      <w:pPr>
        <w:pStyle w:val="BodyText"/>
      </w:pPr>
      <w:r>
        <w:t xml:space="preserve">Historically, establishing a regulatory CE has been slow: an agency must assemble evidence that a class of actions is reliably insignificant (often from its own record of EAs that consistently ended in FONSIs), propose it, and take it through notice-and-comment. The Fiscal Responsibility Act of 2023 changed the landscape by expressly authorizing any agency to adopt another agency’s existing CE — a shortcut that makes the existing federal CE catalog a shared resource rather than a set of agency silos.</w:t>
      </w:r>
    </w:p>
    <w:p>
      <w:pPr>
        <w:pStyle w:val="BodyText"/>
      </w:pPr>
      <w:r>
        <w:t xml:space="preserve">That creates a data problem that is now solvable. Which classes of actions are agencies repeatedly reviewing through full EAs that reliably end in</w:t>
      </w:r>
      <w:r>
        <w:t xml:space="preserve"> </w:t>
      </w:r>
      <w:r>
        <w:t xml:space="preserve">“</w:t>
      </w:r>
      <w:r>
        <w:t xml:space="preserve">no significant impact</w:t>
      </w:r>
      <w:r>
        <w:t xml:space="preserve">”</w:t>
      </w:r>
      <w:r>
        <w:t xml:space="preserve">? Which of those already have a matching CE at another agency? NEPATEC 2.0 and machine learning make it possible to answer these questions systematically for the first time: every decarbonization FONSI can be read, classified by technology and action, matched against the complete federal CE catalog, and sorted into three opportunity types — expand an existing CE whose size bound is too tight, adopt a CE another agency already holds, or develop a new CE where none exists.</w:t>
      </w:r>
    </w:p>
    <w:tbl>
      <w:tblPr>
        <w:tblStyle w:val="Table"/>
        <w:tblW w:type="pct" w:w="5000"/>
        <w:tblLook w:firstRow="0" w:lastRow="0" w:firstColumn="0" w:lastColumn="0" w:noHBand="0" w:noVBand="0" w:val="0000"/>
        <w:jc w:val="start"/>
      </w:tblPr>
      <w:tblGrid>
        <w:gridCol w:w="7920"/>
      </w:tblGrid>
      <w:tr>
        <w:tc>
          <w:tcPr/>
          <w:bookmarkStart w:id="27" w:name="fig-coverage-grid"/>
          <w:p>
            <w:pPr>
              <w:jc w:val="center"/>
            </w:pPr>
            <w:r>
              <w:drawing>
                <wp:inline>
                  <wp:extent cx="5334000" cy="2782956"/>
                  <wp:effectExtent b="0" l="0" r="0" t="0"/>
                  <wp:docPr descr="" title="" id="25" name="Picture"/>
                  <a:graphic>
                    <a:graphicData uri="http://schemas.openxmlformats.org/drawingml/2006/picture">
                      <pic:pic>
                        <pic:nvPicPr>
                          <pic:cNvPr descr="../output/factsheet/figures/fig_d6_coverage_grid.png" id="26" name="Picture"/>
                          <pic:cNvPicPr>
                            <a:picLocks noChangeArrowheads="1" noChangeAspect="1"/>
                          </pic:cNvPicPr>
                        </pic:nvPicPr>
                        <pic:blipFill>
                          <a:blip r:embed="rId24"/>
                          <a:stretch>
                            <a:fillRect/>
                          </a:stretch>
                        </pic:blipFill>
                        <pic:spPr bwMode="auto">
                          <a:xfrm>
                            <a:off x="0" y="0"/>
                            <a:ext cx="5334000" cy="278295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Note: The clean-energy CE coverage map — every decarbonization FONSI placed by technology × action. Color = verdict (adopt / expand / develop / already covered); number = CE-shaped FONSIs in the cell.</w:t>
            </w:r>
          </w:p>
          <w:bookmarkEnd w:id="27"/>
        </w:tc>
      </w:tr>
    </w:tbl>
    <w:p>
      <w:pPr>
        <w:pStyle w:val="BodyText"/>
      </w:pPr>
      <w:r>
        <w:t xml:space="preserve">All verdicts below are candidates pending verification against current eCFR and agency CE text — a prioritized review list for subject-matter experts, not legal conclusions.</w:t>
      </w:r>
    </w:p>
    <w:bookmarkEnd w:id="28"/>
    <w:bookmarkStart w:id="35" w:name="expanding-existing-ces"/>
    <w:p>
      <w:pPr>
        <w:pStyle w:val="Heading1"/>
      </w:pPr>
      <w:r>
        <w:t xml:space="preserve">Expanding Existing CEs</w:t>
      </w:r>
    </w:p>
    <w:bookmarkStart w:id="29" w:name="methodology"/>
    <w:p>
      <w:pPr>
        <w:pStyle w:val="Heading2"/>
      </w:pPr>
      <w:r>
        <w:t xml:space="preserve">Methodology</w:t>
      </w:r>
    </w:p>
    <w:p>
      <w:pPr>
        <w:pStyle w:val="FirstParagraph"/>
      </w:pPr>
      <w:r>
        <w:t xml:space="preserve">From the 451 decarbonization FONSIs, a language model labeled each project’s action (new-build, upgrade, maintenance, demonstration, etc.) and judged whether the action is inherently small, routine, and low-impact — the</w:t>
      </w:r>
      <w:r>
        <w:t xml:space="preserve"> </w:t>
      </w:r>
      <w:r>
        <w:t xml:space="preserve">“</w:t>
      </w:r>
      <w:r>
        <w:t xml:space="preserve">CE-shaped</w:t>
      </w:r>
      <w:r>
        <w:t xml:space="preserve">”</w:t>
      </w:r>
      <w:r>
        <w:t xml:space="preserve"> </w:t>
      </w:r>
      <w:r>
        <w:t xml:space="preserve">subset (215 projects: in-corridor work, previously disturbed land, no major new construction). Each technology × action cell was then matched by text similarity against all 2,105 existing federal CEs. A cell resolves to expand when a close CE exists but the FONSIs’ own stated sizes exceed the CE’s numeric limit.</w:t>
      </w:r>
    </w:p>
    <w:bookmarkEnd w:id="29"/>
    <w:bookmarkStart w:id="34" w:name="X909bcdc86220b26f2accd7ff8f53d9a5553f790"/>
    <w:p>
      <w:pPr>
        <w:pStyle w:val="Heading2"/>
      </w:pPr>
      <w:r>
        <w:t xml:space="preserve">Raising the mileage cap on the transmission CE is the strongest expand case</w:t>
      </w:r>
    </w:p>
    <w:p>
      <w:pPr>
        <w:pStyle w:val="FirstParagraph"/>
      </w:pPr>
      <w:r>
        <w:t xml:space="preserve">The strongest single opportunity in the screen involves 26 in-corridor transmission upgrade FONSIs — reconductoring, rebuilding, and uprating existing lines within existing rights-of-way — across 12 Western states, run by BLM, DOE, and the power marketing administrations as full EAs. TVA already categorically excludes exactly this work under two exclusions: CE #17 (modify in place — reconductoring, equipment swaps; no length limit) and CE #19 (rebuild within the existing right-of-way — capped at 25 miles).</w:t>
      </w:r>
    </w:p>
    <w:p>
      <w:pPr>
        <w:pStyle w:val="BodyText"/>
      </w:pPr>
      <w:r>
        <w:t xml:space="preserve">The catch is the cap. The in-corridor rebuilds in our data run a ~28-mile median — some far longer — against CE #19’s 25-mile limit. So the move is not simply to adopt TVA’s CE as-is, but to expand its mileage bound (or write the adopted version with a higher cap) so it covers the work agencies are demonstrably approving as insignificant anyway.</w:t>
      </w:r>
    </w:p>
    <w:tbl>
      <w:tblPr>
        <w:tblStyle w:val="Table"/>
        <w:tblW w:type="pct" w:w="5000"/>
        <w:tblLook w:firstRow="0" w:lastRow="0" w:firstColumn="0" w:lastColumn="0" w:noHBand="0" w:noVBand="0" w:val="0000"/>
        <w:jc w:val="start"/>
      </w:tblPr>
      <w:tblGrid>
        <w:gridCol w:w="7920"/>
      </w:tblGrid>
      <w:tr>
        <w:tc>
          <w:tcPr/>
          <w:bookmarkStart w:id="33" w:name="fig-sizes"/>
          <w:p>
            <w:pPr>
              <w:jc w:val="center"/>
            </w:pPr>
            <w:r>
              <w:drawing>
                <wp:inline>
                  <wp:extent cx="4800600" cy="4107180"/>
                  <wp:effectExtent b="0" l="0" r="0" t="0"/>
                  <wp:docPr descr="" title="" id="31" name="Picture"/>
                  <a:graphic>
                    <a:graphicData uri="http://schemas.openxmlformats.org/drawingml/2006/picture">
                      <pic:pic>
                        <pic:nvPicPr>
                          <pic:cNvPr descr="../output/factsheet/figures/fig_d6_sizes.png" id="32" name="Picture"/>
                          <pic:cNvPicPr>
                            <a:picLocks noChangeArrowheads="1" noChangeAspect="1"/>
                          </pic:cNvPicPr>
                        </pic:nvPicPr>
                        <pic:blipFill>
                          <a:blip r:embed="rId30"/>
                          <a:stretch>
                            <a:fillRect/>
                          </a:stretch>
                        </pic:blipFill>
                        <pic:spPr bwMode="auto">
                          <a:xfrm>
                            <a:off x="0" y="0"/>
                            <a:ext cx="4800600" cy="41071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Note: Bounded transmission FONSIs vs. all stated CE size limits (log scale). Only line length (miles) runs past the limits existing CEs state; voltage and acreage sit comfortably within them.</w:t>
            </w:r>
          </w:p>
          <w:bookmarkEnd w:id="33"/>
        </w:tc>
      </w:tr>
    </w:tbl>
    <w:p>
      <w:pPr>
        <w:pStyle w:val="BodyText"/>
      </w:pPr>
      <w:r>
        <w:t xml:space="preserve">This is also nearly the only numeric expand case possible: of the 2,105 existing federal CEs, just 86 state any explicit numeric limit at all. The rest bound their scope with words (</w:t>
      </w:r>
      <w:r>
        <w:t xml:space="preserve">“</w:t>
      </w:r>
      <w:r>
        <w:t xml:space="preserve">routine,</w:t>
      </w:r>
      <w:r>
        <w:t xml:space="preserve">”</w:t>
      </w:r>
      <w:r>
        <w:t xml:space="preserve"> </w:t>
      </w:r>
      <w:r>
        <w:t xml:space="preserve">“</w:t>
      </w:r>
      <w:r>
        <w:t xml:space="preserve">minor,</w:t>
      </w:r>
      <w:r>
        <w:t xml:space="preserve">”</w:t>
      </w:r>
      <w:r>
        <w:t xml:space="preserve"> </w:t>
      </w:r>
      <w:r>
        <w:t xml:space="preserve">“</w:t>
      </w:r>
      <w:r>
        <w:t xml:space="preserve">within existing facilities</w:t>
      </w:r>
      <w:r>
        <w:t xml:space="preserve">”</w:t>
      </w:r>
      <w:r>
        <w:t xml:space="preserve">) — so most expansion questions are qualitative-coverage questions that require reading the CE text, not arithmetic.</w:t>
      </w:r>
    </w:p>
    <w:bookmarkEnd w:id="34"/>
    <w:bookmarkEnd w:id="35"/>
    <w:bookmarkStart w:id="47" w:name="adopting-other-agencies-ces"/>
    <w:p>
      <w:pPr>
        <w:pStyle w:val="Heading1"/>
      </w:pPr>
      <w:r>
        <w:t xml:space="preserve">Adopting Other Agencies’ CEs</w:t>
      </w:r>
    </w:p>
    <w:bookmarkStart w:id="36" w:name="methodology-1"/>
    <w:p>
      <w:pPr>
        <w:pStyle w:val="Heading2"/>
      </w:pPr>
      <w:r>
        <w:t xml:space="preserve">Methodology</w:t>
      </w:r>
    </w:p>
    <w:p>
      <w:pPr>
        <w:pStyle w:val="FirstParagraph"/>
      </w:pPr>
      <w:r>
        <w:t xml:space="preserve">The same grid resolves a cell to adopt when a close matching CE exists — but at a different agency than the ones running the EAs. To test whether cross-agency adoption is realistic, we also compared every existing CE against every other by text similarity, flagging near-duplicates held at multiple agencies.</w:t>
      </w:r>
    </w:p>
    <w:bookmarkEnd w:id="36"/>
    <w:bookmarkStart w:id="46" w:name="X59ac717823f3c808aa43b17946d0cec5b3f72f3"/>
    <w:p>
      <w:pPr>
        <w:pStyle w:val="Heading2"/>
      </w:pPr>
      <w:r>
        <w:t xml:space="preserve">Adoption is already how the CE landscape works</w:t>
      </w:r>
    </w:p>
    <w:p>
      <w:pPr>
        <w:pStyle w:val="FirstParagraph"/>
      </w:pPr>
      <w:r>
        <w:t xml:space="preserve">The existing catalog — 2,105 CEs across 78 federal agency units — is heavily redundant in exactly the way the FRA’s adoption authority anticipates. Laid out by text similarity, the CEs form recognizable cross-agency families: real property and rights-of-way, geophysical surveys and data collection, routine maintenance, procurement, hazardous-materials handling.</w:t>
      </w:r>
    </w:p>
    <w:tbl>
      <w:tblPr>
        <w:tblStyle w:val="Table"/>
        <w:tblW w:type="pct" w:w="5000"/>
        <w:tblLook w:firstRow="0" w:lastRow="0" w:firstColumn="0" w:lastColumn="0" w:noHBand="0" w:noVBand="0" w:val="0000"/>
        <w:jc w:val="start"/>
      </w:tblPr>
      <w:tblGrid>
        <w:gridCol w:w="7920"/>
      </w:tblGrid>
      <w:tr>
        <w:tc>
          <w:tcPr/>
          <w:bookmarkStart w:id="40" w:name="fig-ce-scatter"/>
          <w:p>
            <w:pPr>
              <w:jc w:val="center"/>
            </w:pPr>
            <w:r>
              <w:drawing>
                <wp:inline>
                  <wp:extent cx="5067300" cy="3840480"/>
                  <wp:effectExtent b="0" l="0" r="0" t="0"/>
                  <wp:docPr descr="" title="" id="38" name="Picture"/>
                  <a:graphic>
                    <a:graphicData uri="http://schemas.openxmlformats.org/drawingml/2006/picture">
                      <pic:pic>
                        <pic:nvPicPr>
                          <pic:cNvPr descr="../output/factsheet/figures/fig_d6_ce_scatter.png" id="39" name="Picture"/>
                          <pic:cNvPicPr>
                            <a:picLocks noChangeArrowheads="1" noChangeAspect="1"/>
                          </pic:cNvPicPr>
                        </pic:nvPicPr>
                        <pic:blipFill>
                          <a:blip r:embed="rId37"/>
                          <a:stretch>
                            <a:fillRect/>
                          </a:stretch>
                        </pic:blipFill>
                        <pic:spPr bwMode="auto">
                          <a:xfrm>
                            <a:off x="0" y="0"/>
                            <a:ext cx="5067300" cy="38404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Note: All existing federal CEs laid out by text similarity (t-SNE), colored by family and labeled by distinctive phrases. Closer = more similar wording. The families recur across different departments — the precedent for adoption.</w:t>
            </w:r>
          </w:p>
          <w:bookmarkEnd w:id="40"/>
        </w:tc>
      </w:tr>
    </w:tbl>
    <w:p>
      <w:pPr>
        <w:pStyle w:val="BodyText"/>
      </w:pPr>
      <w:r>
        <w:t xml:space="preserve">317 CEs have a near-twin at a different agency, forming 130 shared action families. When an action is genuinely low-impact, agencies converge on nearly identical exclusions — adoption formalizes what the landscape already does informally.</w:t>
      </w:r>
    </w:p>
    <w:p>
      <w:pPr>
        <w:pStyle w:val="BodyText"/>
      </w:pPr>
      <w:r>
        <w:t xml:space="preserve">The CE authorities that decarbonization and fossil projects actually cite are similarly concentrated: a small set of workhorse exclusions (DOE’s financial-assistance CEs, BLM’s oil-and-gas pathways) carries most of the volume.</w:t>
      </w:r>
    </w:p>
    <w:tbl>
      <w:tblPr>
        <w:tblStyle w:val="Table"/>
        <w:tblW w:type="pct" w:w="5000"/>
        <w:tblLook w:firstRow="0" w:lastRow="0" w:firstColumn="0" w:lastColumn="0" w:noHBand="0" w:noVBand="0" w:val="0000"/>
        <w:jc w:val="start"/>
      </w:tblPr>
      <w:tblGrid>
        <w:gridCol w:w="7920"/>
      </w:tblGrid>
      <w:tr>
        <w:tc>
          <w:tcPr/>
          <w:bookmarkStart w:id="44" w:name="fig-top-ce"/>
          <w:p>
            <w:pPr>
              <w:jc w:val="center"/>
            </w:pPr>
            <w:r>
              <w:drawing>
                <wp:inline>
                  <wp:extent cx="5067300" cy="4560570"/>
                  <wp:effectExtent b="0" l="0" r="0" t="0"/>
                  <wp:docPr descr="" title="" id="42" name="Picture"/>
                  <a:graphic>
                    <a:graphicData uri="http://schemas.openxmlformats.org/drawingml/2006/picture">
                      <pic:pic>
                        <pic:nvPicPr>
                          <pic:cNvPr descr="../output/factsheet/figures/fig4_top_ce_codes.png" id="43" name="Picture"/>
                          <pic:cNvPicPr>
                            <a:picLocks noChangeArrowheads="1" noChangeAspect="1"/>
                          </pic:cNvPicPr>
                        </pic:nvPicPr>
                        <pic:blipFill>
                          <a:blip r:embed="rId41"/>
                          <a:stretch>
                            <a:fillRect/>
                          </a:stretch>
                        </pic:blipFill>
                        <pic:spPr bwMode="auto">
                          <a:xfrm>
                            <a:off x="0" y="0"/>
                            <a:ext cx="5067300" cy="456057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Note: The 15 most-cited CE authorities across all energy projects in NEPATEC 2.0 (document-level citation counts).</w:t>
            </w:r>
          </w:p>
          <w:bookmarkEnd w:id="44"/>
        </w:tc>
      </w:tr>
    </w:tbl>
    <w:p>
      <w:pPr>
        <w:pStyle w:val="BodyText"/>
      </w:pPr>
      <w:r>
        <w:t xml:space="preserve">For the decarbonization FONSI grid, 21 cells resolve to adopt — though most rest on thin evidence (only 9 have two or more CE-shaped FONSIs). Treat the table below as a menu of matches to verify, not a set of robust findings:</w:t>
      </w:r>
    </w:p>
    <w:bookmarkStart w:id="45" w:name="tbl-adopt"/>
    <w:p>
      <w:pPr>
        <w:pStyle w:val="TableCaption"/>
      </w:pPr>
      <w:r>
        <w:t xml:space="preserve">Table 1: Candidate adopt opportunities: recurring decarbonization actions with a close CE match at one agency but run as full EAs at others. Matches pending eCFR verification.</w:t>
      </w:r>
    </w:p>
    <w:tbl>
      <w:tblPr>
        <w:tblStyle w:val="Table"/>
        <w:tblW w:type="pct" w:w="5000"/>
        <w:tblLook w:firstRow="1" w:lastRow="0" w:firstColumn="0" w:lastColumn="0" w:noHBand="0" w:noVBand="0" w:val="0020"/>
        <w:jc w:val="start"/>
        <w:tblCaption w:val="Table 1: Candidate adopt opportunities: recurring decarbonization actions with a close CE match at one agency but run as full EAs at others. Matches pending eCFR verification."/>
      </w:tblPr>
      <w:tblGrid>
        <w:gridCol w:w="2279"/>
        <w:gridCol w:w="1025"/>
        <w:gridCol w:w="2734"/>
        <w:gridCol w:w="1481"/>
        <w:gridCol w:w="398"/>
      </w:tblGrid>
      <w:tr>
        <w:trPr>
          <w:tblHeader w:val="true"/>
        </w:trPr>
        <w:tc>
          <w:tcPr/>
          <w:p>
            <w:pPr>
              <w:pStyle w:val="Compact"/>
              <w:jc w:val="left"/>
            </w:pPr>
            <w:r>
              <w:t xml:space="preserve">Technology × action</w:t>
            </w:r>
          </w:p>
        </w:tc>
        <w:tc>
          <w:tcPr/>
          <w:p>
            <w:pPr>
              <w:pStyle w:val="Compact"/>
              <w:jc w:val="left"/>
            </w:pPr>
            <w:r>
              <w:t xml:space="preserve">Low-impact FONSIs</w:t>
            </w:r>
          </w:p>
        </w:tc>
        <w:tc>
          <w:tcPr/>
          <w:p>
            <w:pPr>
              <w:pStyle w:val="Compact"/>
              <w:jc w:val="left"/>
            </w:pPr>
            <w:r>
              <w:t xml:space="preserve">Existing CE (held by)</w:t>
            </w:r>
          </w:p>
        </w:tc>
        <w:tc>
          <w:tcPr/>
          <w:p>
            <w:pPr>
              <w:pStyle w:val="Compact"/>
              <w:jc w:val="left"/>
            </w:pPr>
            <w:r>
              <w:t xml:space="preserve">Agencies that could adopt</w:t>
            </w:r>
          </w:p>
        </w:tc>
        <w:tc>
          <w:tcPr/>
          <w:p>
            <w:pPr>
              <w:pStyle w:val="Compact"/>
              <w:jc w:val="left"/>
            </w:pPr>
            <w:r>
              <w:t xml:space="preserve">States</w:t>
            </w:r>
          </w:p>
        </w:tc>
      </w:tr>
      <w:tr>
        <w:tc>
          <w:tcPr/>
          <w:p>
            <w:pPr>
              <w:pStyle w:val="Compact"/>
              <w:jc w:val="left"/>
            </w:pPr>
            <w:r>
              <w:t xml:space="preserve">Other Clean — land or row authorization</w:t>
            </w:r>
          </w:p>
        </w:tc>
        <w:tc>
          <w:tcPr/>
          <w:p>
            <w:pPr>
              <w:pStyle w:val="Compact"/>
              <w:jc w:val="left"/>
            </w:pPr>
            <w:r>
              <w:t xml:space="preserve">21</w:t>
            </w:r>
          </w:p>
        </w:tc>
        <w:tc>
          <w:tcPr/>
          <w:p>
            <w:pPr>
              <w:pStyle w:val="Compact"/>
              <w:jc w:val="left"/>
            </w:pPr>
            <w:r>
              <w:t xml:space="preserve">BLM—5-49 — Bureau of Land Management</w:t>
            </w:r>
          </w:p>
        </w:tc>
        <w:tc>
          <w:tcPr/>
          <w:p>
            <w:pPr>
              <w:pStyle w:val="Compact"/>
              <w:jc w:val="left"/>
            </w:pPr>
            <w:r>
              <w:t xml:space="preserve">DOE</w:t>
            </w:r>
          </w:p>
        </w:tc>
        <w:tc>
          <w:tcPr/>
          <w:p>
            <w:pPr>
              <w:pStyle w:val="Compact"/>
              <w:jc w:val="left"/>
            </w:pPr>
            <w:r>
              <w:t xml:space="preserve">6</w:t>
            </w:r>
          </w:p>
        </w:tc>
      </w:tr>
      <w:tr>
        <w:tc>
          <w:tcPr/>
          <w:p>
            <w:pPr>
              <w:pStyle w:val="Compact"/>
              <w:jc w:val="left"/>
            </w:pPr>
            <w:r>
              <w:t xml:space="preserve">Other Clean — other</w:t>
            </w:r>
          </w:p>
        </w:tc>
        <w:tc>
          <w:tcPr/>
          <w:p>
            <w:pPr>
              <w:pStyle w:val="Compact"/>
              <w:jc w:val="left"/>
            </w:pPr>
            <w:r>
              <w:t xml:space="preserve">12</w:t>
            </w:r>
          </w:p>
        </w:tc>
        <w:tc>
          <w:tcPr/>
          <w:p>
            <w:pPr>
              <w:pStyle w:val="Compact"/>
              <w:jc w:val="left"/>
            </w:pPr>
            <w:r>
              <w:t xml:space="preserve">DOE-1–5-85 — Department of Energy</w:t>
            </w:r>
          </w:p>
        </w:tc>
        <w:tc>
          <w:tcPr/>
          <w:p>
            <w:pPr>
              <w:pStyle w:val="Compact"/>
              <w:jc w:val="left"/>
            </w:pPr>
            <w:r>
              <w:t xml:space="preserve">PMA</w:t>
            </w:r>
          </w:p>
        </w:tc>
        <w:tc>
          <w:tcPr/>
          <w:p>
            <w:pPr>
              <w:pStyle w:val="Compact"/>
              <w:jc w:val="left"/>
            </w:pPr>
            <w:r>
              <w:t xml:space="preserve">10</w:t>
            </w:r>
          </w:p>
        </w:tc>
      </w:tr>
      <w:tr>
        <w:tc>
          <w:tcPr/>
          <w:p>
            <w:pPr>
              <w:pStyle w:val="Compact"/>
              <w:jc w:val="left"/>
            </w:pPr>
            <w:r>
              <w:t xml:space="preserve">Biomass — research or demonstration</w:t>
            </w:r>
          </w:p>
        </w:tc>
        <w:tc>
          <w:tcPr/>
          <w:p>
            <w:pPr>
              <w:pStyle w:val="Compact"/>
              <w:jc w:val="left"/>
            </w:pPr>
            <w:r>
              <w:t xml:space="preserve">2</w:t>
            </w:r>
          </w:p>
        </w:tc>
        <w:tc>
          <w:tcPr/>
          <w:p>
            <w:pPr>
              <w:pStyle w:val="Compact"/>
              <w:jc w:val="left"/>
            </w:pPr>
            <w:r>
              <w:t xml:space="preserve">BOEM—3-22 — Bureau of Ocean Energy Management</w:t>
            </w:r>
          </w:p>
        </w:tc>
        <w:tc>
          <w:tcPr/>
          <w:p>
            <w:pPr>
              <w:pStyle w:val="Compact"/>
              <w:jc w:val="left"/>
            </w:pPr>
            <w:r>
              <w:t xml:space="preserve">DOE</w:t>
            </w:r>
          </w:p>
        </w:tc>
        <w:tc>
          <w:tcPr/>
          <w:p>
            <w:pPr>
              <w:pStyle w:val="Compact"/>
              <w:jc w:val="left"/>
            </w:pPr>
            <w:r>
              <w:t xml:space="preserve">2</w:t>
            </w:r>
          </w:p>
        </w:tc>
      </w:tr>
      <w:tr>
        <w:tc>
          <w:tcPr/>
          <w:p>
            <w:pPr>
              <w:pStyle w:val="Compact"/>
              <w:jc w:val="left"/>
            </w:pPr>
            <w:r>
              <w:t xml:space="preserve">Hydropower — research or demonstration</w:t>
            </w:r>
          </w:p>
        </w:tc>
        <w:tc>
          <w:tcPr/>
          <w:p>
            <w:pPr>
              <w:pStyle w:val="Compact"/>
              <w:jc w:val="left"/>
            </w:pPr>
            <w:r>
              <w:t xml:space="preserve">2</w:t>
            </w:r>
          </w:p>
        </w:tc>
        <w:tc>
          <w:tcPr/>
          <w:p>
            <w:pPr>
              <w:pStyle w:val="Compact"/>
              <w:jc w:val="left"/>
            </w:pPr>
            <w:r>
              <w:t xml:space="preserve">BOEM—2-7 — Bureau of Ocean Energy Management</w:t>
            </w:r>
          </w:p>
        </w:tc>
        <w:tc>
          <w:tcPr/>
          <w:p>
            <w:pPr>
              <w:pStyle w:val="Compact"/>
              <w:jc w:val="left"/>
            </w:pPr>
            <w:r>
              <w:t xml:space="preserve">DOE</w:t>
            </w:r>
          </w:p>
        </w:tc>
        <w:tc>
          <w:tcPr/>
          <w:p>
            <w:pPr>
              <w:pStyle w:val="Compact"/>
              <w:jc w:val="left"/>
            </w:pPr>
            <w:r>
              <w:t xml:space="preserve">3</w:t>
            </w:r>
          </w:p>
        </w:tc>
      </w:tr>
      <w:tr>
        <w:tc>
          <w:tcPr/>
          <w:p>
            <w:pPr>
              <w:pStyle w:val="Compact"/>
              <w:jc w:val="left"/>
            </w:pPr>
            <w:r>
              <w:t xml:space="preserve">Geothermal — other</w:t>
            </w:r>
          </w:p>
        </w:tc>
        <w:tc>
          <w:tcPr/>
          <w:p>
            <w:pPr>
              <w:pStyle w:val="Compact"/>
              <w:jc w:val="left"/>
            </w:pPr>
            <w:r>
              <w:t xml:space="preserve">4</w:t>
            </w:r>
          </w:p>
        </w:tc>
        <w:tc>
          <w:tcPr/>
          <w:p>
            <w:pPr>
              <w:pStyle w:val="Compact"/>
              <w:jc w:val="left"/>
            </w:pPr>
            <w:r>
              <w:t xml:space="preserve">BLM—2-13 — Bureau of Land Management</w:t>
            </w:r>
          </w:p>
        </w:tc>
        <w:tc>
          <w:tcPr/>
          <w:p>
            <w:pPr>
              <w:pStyle w:val="Compact"/>
              <w:jc w:val="left"/>
            </w:pPr>
            <w:r>
              <w:t xml:space="preserve">DOE</w:t>
            </w:r>
          </w:p>
        </w:tc>
        <w:tc>
          <w:tcPr/>
          <w:p>
            <w:pPr>
              <w:pStyle w:val="Compact"/>
              <w:jc w:val="left"/>
            </w:pPr>
            <w:r>
              <w:t xml:space="preserve">4</w:t>
            </w:r>
          </w:p>
        </w:tc>
      </w:tr>
      <w:tr>
        <w:tc>
          <w:tcPr/>
          <w:p>
            <w:pPr>
              <w:pStyle w:val="Compact"/>
              <w:jc w:val="left"/>
            </w:pPr>
            <w:r>
              <w:t xml:space="preserve">Geothermal — research or demonstration</w:t>
            </w:r>
          </w:p>
        </w:tc>
        <w:tc>
          <w:tcPr/>
          <w:p>
            <w:pPr>
              <w:pStyle w:val="Compact"/>
              <w:jc w:val="left"/>
            </w:pPr>
            <w:r>
              <w:t xml:space="preserve">4</w:t>
            </w:r>
          </w:p>
        </w:tc>
        <w:tc>
          <w:tcPr/>
          <w:p>
            <w:pPr>
              <w:pStyle w:val="Compact"/>
              <w:jc w:val="left"/>
            </w:pPr>
            <w:r>
              <w:t xml:space="preserve">BLM—2-13 — Bureau of Land Management</w:t>
            </w:r>
          </w:p>
        </w:tc>
        <w:tc>
          <w:tcPr/>
          <w:p>
            <w:pPr>
              <w:pStyle w:val="Compact"/>
              <w:jc w:val="left"/>
            </w:pPr>
            <w:r>
              <w:t xml:space="preserve">DOE</w:t>
            </w:r>
          </w:p>
        </w:tc>
        <w:tc>
          <w:tcPr/>
          <w:p>
            <w:pPr>
              <w:pStyle w:val="Compact"/>
              <w:jc w:val="left"/>
            </w:pPr>
            <w:r>
              <w:t xml:space="preserve">4</w:t>
            </w:r>
          </w:p>
        </w:tc>
      </w:tr>
      <w:tr>
        <w:tc>
          <w:tcPr/>
          <w:p>
            <w:pPr>
              <w:pStyle w:val="Compact"/>
              <w:jc w:val="left"/>
            </w:pPr>
            <w:r>
              <w:t xml:space="preserve">Solar — maintenance</w:t>
            </w:r>
          </w:p>
        </w:tc>
        <w:tc>
          <w:tcPr/>
          <w:p>
            <w:pPr>
              <w:pStyle w:val="Compact"/>
              <w:jc w:val="left"/>
            </w:pPr>
            <w:r>
              <w:t xml:space="preserve">2</w:t>
            </w:r>
          </w:p>
        </w:tc>
        <w:tc>
          <w:tcPr/>
          <w:p>
            <w:pPr>
              <w:pStyle w:val="Compact"/>
              <w:jc w:val="left"/>
            </w:pPr>
            <w:r>
              <w:t xml:space="preserve">DA—3-35 — U.S. Army</w:t>
            </w:r>
          </w:p>
        </w:tc>
        <w:tc>
          <w:tcPr/>
          <w:p>
            <w:pPr>
              <w:pStyle w:val="Compact"/>
              <w:jc w:val="left"/>
            </w:pPr>
            <w:r>
              <w:t xml:space="preserve">BLM</w:t>
            </w:r>
          </w:p>
        </w:tc>
        <w:tc>
          <w:tcPr/>
          <w:p>
            <w:pPr>
              <w:pStyle w:val="Compact"/>
              <w:jc w:val="left"/>
            </w:pPr>
            <w:r>
              <w:t xml:space="preserve">1</w:t>
            </w:r>
          </w:p>
        </w:tc>
      </w:tr>
      <w:tr>
        <w:tc>
          <w:tcPr/>
          <w:p>
            <w:pPr>
              <w:pStyle w:val="Compact"/>
              <w:jc w:val="left"/>
            </w:pPr>
            <w:r>
              <w:t xml:space="preserve">Wind — upgrade</w:t>
            </w:r>
          </w:p>
        </w:tc>
        <w:tc>
          <w:tcPr/>
          <w:p>
            <w:pPr>
              <w:pStyle w:val="Compact"/>
              <w:jc w:val="left"/>
            </w:pPr>
            <w:r>
              <w:t xml:space="preserve">3</w:t>
            </w:r>
          </w:p>
        </w:tc>
        <w:tc>
          <w:tcPr/>
          <w:p>
            <w:pPr>
              <w:pStyle w:val="Compact"/>
              <w:jc w:val="left"/>
            </w:pPr>
            <w:r>
              <w:t xml:space="preserve">DOE-1–5-89 — Department of Energy</w:t>
            </w:r>
          </w:p>
        </w:tc>
        <w:tc>
          <w:tcPr/>
          <w:p>
            <w:pPr>
              <w:pStyle w:val="Compact"/>
              <w:jc w:val="left"/>
            </w:pPr>
            <w:r>
              <w:t xml:space="preserve">BLM</w:t>
            </w:r>
          </w:p>
        </w:tc>
        <w:tc>
          <w:tcPr/>
          <w:p>
            <w:pPr>
              <w:pStyle w:val="Compact"/>
              <w:jc w:val="left"/>
            </w:pPr>
            <w:r>
              <w:t xml:space="preserve">2</w:t>
            </w:r>
          </w:p>
        </w:tc>
      </w:tr>
      <w:tr>
        <w:tc>
          <w:tcPr/>
          <w:p>
            <w:pPr>
              <w:pStyle w:val="Compact"/>
              <w:jc w:val="left"/>
            </w:pPr>
            <w:r>
              <w:t xml:space="preserve">Nuclear — other</w:t>
            </w:r>
          </w:p>
        </w:tc>
        <w:tc>
          <w:tcPr/>
          <w:p>
            <w:pPr>
              <w:pStyle w:val="Compact"/>
              <w:jc w:val="left"/>
            </w:pPr>
            <w:r>
              <w:t xml:space="preserve">2</w:t>
            </w:r>
          </w:p>
        </w:tc>
        <w:tc>
          <w:tcPr/>
          <w:p>
            <w:pPr>
              <w:pStyle w:val="Compact"/>
              <w:jc w:val="left"/>
            </w:pPr>
            <w:r>
              <w:t xml:space="preserve">NRC—1-11 — Nuclear Regulatory Commission</w:t>
            </w:r>
          </w:p>
        </w:tc>
        <w:tc>
          <w:tcPr/>
          <w:p>
            <w:pPr>
              <w:pStyle w:val="Compact"/>
              <w:jc w:val="left"/>
            </w:pPr>
            <w:r>
              <w:t xml:space="preserve">DOE</w:t>
            </w:r>
          </w:p>
        </w:tc>
        <w:tc>
          <w:tcPr/>
          <w:p>
            <w:pPr>
              <w:pStyle w:val="Compact"/>
              <w:jc w:val="left"/>
            </w:pPr>
            <w:r>
              <w:t xml:space="preserve">1</w:t>
            </w:r>
          </w:p>
        </w:tc>
      </w:tr>
    </w:tbl>
    <w:bookmarkEnd w:id="45"/>
    <w:p>
      <w:pPr>
        <w:pStyle w:val="BodyText"/>
      </w:pPr>
      <w:r>
        <w:t xml:space="preserve">One timing caveat: nearly all of these FONSIs predate the FRA’s June 2023 adoption authority — agencies ran full EAs because the shortcut did not yet exist. The findings identify where adoption review is likely worthwhile; confirming that agencies still process these actions as EAs post-FRA is the required next check.</w:t>
      </w:r>
    </w:p>
    <w:bookmarkEnd w:id="46"/>
    <w:bookmarkEnd w:id="47"/>
    <w:bookmarkStart w:id="50" w:name="developing-new-ces"/>
    <w:p>
      <w:pPr>
        <w:pStyle w:val="Heading1"/>
      </w:pPr>
      <w:r>
        <w:t xml:space="preserve">Developing New CEs</w:t>
      </w:r>
    </w:p>
    <w:bookmarkStart w:id="48" w:name="methodology-2"/>
    <w:p>
      <w:pPr>
        <w:pStyle w:val="Heading2"/>
      </w:pPr>
      <w:r>
        <w:t xml:space="preserve">Methodology</w:t>
      </w:r>
    </w:p>
    <w:p>
      <w:pPr>
        <w:pStyle w:val="FirstParagraph"/>
      </w:pPr>
      <w:r>
        <w:t xml:space="preserve">A cell resolves to develop when the FONSIs recur but no existing CE comes close (text-similarity match below the 0.40 reference line for every CE in the catalog). These are the gaps invisible to any approach that starts from existing CE categories.</w:t>
      </w:r>
    </w:p>
    <w:bookmarkEnd w:id="48"/>
    <w:bookmarkStart w:id="49" w:name="X3dae96f209be937e21a2a491c76acf025f2cb70"/>
    <w:p>
      <w:pPr>
        <w:pStyle w:val="Heading2"/>
      </w:pPr>
      <w:r>
        <w:t xml:space="preserve">Real gaps exist, but the evidence supports keeping them high-level</w:t>
      </w:r>
    </w:p>
    <w:p>
      <w:pPr>
        <w:pStyle w:val="FirstParagraph"/>
      </w:pPr>
      <w:r>
        <w:t xml:space="preserve">17 cells resolve to develop, 15 of them codifiable as a physical action class. The cross-cutting standout is demonstration and pilot facilities, which recur as a gap for wind, nuclear, and other clean-energy projects — one new CE could cover small-scale research and demonstration installations across technologies. (The method discriminates: for geothermal and biomass, the same demonstration action already has a matchable CE, so it resolves to adopt instead.)</w:t>
      </w:r>
    </w:p>
    <w:p>
      <w:pPr>
        <w:pStyle w:val="BodyText"/>
      </w:pPr>
      <w:r>
        <w:t xml:space="preserve">We deliberately stop short of recommending specific new CEs. The FONSI counts behind each develop cell are small — enough to flag a recurring pattern, not enough to constitute the evidence record a rulemaking would need. The right reading is methodological: this machinery can surface where new CEs are worth building, and it will get sharper as more data accumulates — particularly post-FRA records and a corpus extending beyond decarbonization.</w:t>
      </w:r>
    </w:p>
    <w:bookmarkEnd w:id="49"/>
    <w:bookmarkEnd w:id="50"/>
    <w:bookmarkStart w:id="55" w:name="mitigated-fonsis"/>
    <w:p>
      <w:pPr>
        <w:pStyle w:val="Heading1"/>
      </w:pPr>
      <w:r>
        <w:t xml:space="preserve">Mitigated FONSIs</w:t>
      </w:r>
    </w:p>
    <w:p>
      <w:pPr>
        <w:pStyle w:val="FirstParagraph"/>
      </w:pPr>
      <w:r>
        <w:t xml:space="preserve">A large majority of decarbonization FONSIs — 310 of 451 (69%) — are mitigated FONSIs: the</w:t>
      </w:r>
      <w:r>
        <w:t xml:space="preserve"> </w:t>
      </w:r>
      <w:r>
        <w:t xml:space="preserve">“</w:t>
      </w:r>
      <w:r>
        <w:t xml:space="preserve">no significant impact</w:t>
      </w:r>
      <w:r>
        <w:t xml:space="preserve">”</w:t>
      </w:r>
      <w:r>
        <w:t xml:space="preserve"> </w:t>
      </w:r>
      <w:r>
        <w:t xml:space="preserve">finding depends on committed mitigation rather than the action being inherently benign, and in 309 of those the commitment is case-specific.</w:t>
      </w:r>
    </w:p>
    <w:tbl>
      <w:tblPr>
        <w:tblStyle w:val="Table"/>
        <w:tblW w:type="pct" w:w="5000"/>
        <w:tblLook w:firstRow="0" w:lastRow="0" w:firstColumn="0" w:lastColumn="0" w:noHBand="0" w:noVBand="0" w:val="0000"/>
        <w:jc w:val="start"/>
      </w:tblPr>
      <w:tblGrid>
        <w:gridCol w:w="7920"/>
      </w:tblGrid>
      <w:tr>
        <w:tc>
          <w:tcPr/>
          <w:bookmarkStart w:id="54" w:name="fig-mitigated"/>
          <w:p>
            <w:pPr>
              <w:jc w:val="center"/>
            </w:pPr>
            <w:r>
              <w:drawing>
                <wp:inline>
                  <wp:extent cx="5067300" cy="2589953"/>
                  <wp:effectExtent b="0" l="0" r="0" t="0"/>
                  <wp:docPr descr="" title="" id="52" name="Picture"/>
                  <a:graphic>
                    <a:graphicData uri="http://schemas.openxmlformats.org/drawingml/2006/picture">
                      <pic:pic>
                        <pic:nvPicPr>
                          <pic:cNvPr descr="../output/factsheet/figures/fig_d6_mitigated_overall.png" id="53" name="Picture"/>
                          <pic:cNvPicPr>
                            <a:picLocks noChangeArrowheads="1" noChangeAspect="1"/>
                          </pic:cNvPicPr>
                        </pic:nvPicPr>
                        <pic:blipFill>
                          <a:blip r:embed="rId51"/>
                          <a:stretch>
                            <a:fillRect/>
                          </a:stretch>
                        </pic:blipFill>
                        <pic:spPr bwMode="auto">
                          <a:xfrm>
                            <a:off x="0" y="0"/>
                            <a:ext cx="5067300" cy="2589953"/>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Note: Share of decarbonization FONSIs whose finding of no significant impact relies on committed mitigation.</w:t>
            </w:r>
          </w:p>
          <w:bookmarkEnd w:id="54"/>
        </w:tc>
      </w:tr>
    </w:tbl>
    <w:p>
      <w:pPr>
        <w:pStyle w:val="BodyText"/>
      </w:pPr>
      <w:r>
        <w:t xml:space="preserve">We tested whether the mitigation itself follows patterns that could be codified, and found none. Breaking every committed-mitigation summary into phrases and counting recurrence across projects, no mitigation phrase repeats: the measures are written project by project (SHPO consultation, raptor-nest buffers, site-specific erosion plans). What does recur is (1) the resource areas mitigation protects — consistently biological, soils, water, and cultural — and (2) the agencies’ explicit significance thresholds (</w:t>
      </w:r>
      <w:r>
        <w:t xml:space="preserve">“</w:t>
      </w:r>
      <w:r>
        <w:t xml:space="preserve">would be significant if it exceeded X</w:t>
      </w:r>
      <w:r>
        <w:t xml:space="preserve">”</w:t>
      </w:r>
      <w:r>
        <w:t xml:space="preserve">), which repeat across projects and are the natural, codifiable bounds for any new or expanded CE.</w:t>
      </w:r>
    </w:p>
    <w:p>
      <w:pPr>
        <w:pStyle w:val="BodyText"/>
      </w:pPr>
      <w:r>
        <w:t xml:space="preserve">The design implication is that a CE built from this evidence base cannot rely on case-by-case mitigation commitments; it must encode the recurring protections as standing design criteria and exclude actions that would hinge on project-specific mitigation.</w:t>
      </w:r>
    </w:p>
    <w:bookmarkEnd w:id="55"/>
    <w:bookmarkStart w:id="58" w:name="conclusion-and-policy-implications"/>
    <w:p>
      <w:pPr>
        <w:pStyle w:val="Heading1"/>
      </w:pPr>
      <w:r>
        <w:t xml:space="preserve">Conclusion and Policy Implications</w:t>
      </w:r>
    </w:p>
    <w:p>
      <w:pPr>
        <w:pStyle w:val="FirstParagraph"/>
      </w:pPr>
      <w:r>
        <w:rPr>
          <w:bCs/>
          <w:b/>
        </w:rPr>
        <w:t xml:space="preserve">The federal government should invest in expanding NEPATEC — and consider responsible use of AI to identify CE candidates.</w:t>
      </w:r>
      <w:r>
        <w:t xml:space="preserve"> </w:t>
      </w:r>
      <w:r>
        <w:t xml:space="preserve">This analysis demonstrates a repeatable pattern: machine reading of the FONSI record can surface where agencies repeatedly conclude</w:t>
      </w:r>
      <w:r>
        <w:t xml:space="preserve"> </w:t>
      </w:r>
      <w:r>
        <w:t xml:space="preserve">“</w:t>
      </w:r>
      <w:r>
        <w:t xml:space="preserve">no significant impact</w:t>
      </w:r>
      <w:r>
        <w:t xml:space="preserve">”</w:t>
      </w:r>
      <w:r>
        <w:t xml:space="preserve"> </w:t>
      </w:r>
      <w:r>
        <w:t xml:space="preserve">for the same class of action, match those classes against the full federal CE catalog, and rank expand/adopt/develop opportunities — work that would take a policy team months per agency to do by hand. Three implications follow:</w:t>
      </w:r>
    </w:p>
    <w:p>
      <w:pPr>
        <w:numPr>
          <w:ilvl w:val="0"/>
          <w:numId w:val="1002"/>
        </w:numPr>
        <w:pStyle w:val="Compact"/>
      </w:pPr>
      <w:r>
        <w:t xml:space="preserve">Act on the transmission case. The in-corridor transmission upgrade finding is well-evidenced, maps to a specific existing CE, and has a specific fix (raise the mileage cap). It is the natural first candidate for expert verification.</w:t>
      </w:r>
    </w:p>
    <w:p>
      <w:pPr>
        <w:numPr>
          <w:ilvl w:val="0"/>
          <w:numId w:val="1002"/>
        </w:numPr>
        <w:pStyle w:val="Compact"/>
      </w:pPr>
      <w:r>
        <w:t xml:space="preserve">Use the FRA’s adoption authority systematically, not opportunistically. The catalog’s 130 shared action families show adoption is normal practice; the candidate list here gives agencies a place to start looking.</w:t>
      </w:r>
    </w:p>
    <w:p>
      <w:pPr>
        <w:numPr>
          <w:ilvl w:val="0"/>
          <w:numId w:val="1002"/>
        </w:numPr>
        <w:pStyle w:val="Compact"/>
      </w:pPr>
      <w:r>
        <w:t xml:space="preserve">Keep humans in the loop. Every machine-identified candidate is a screening result. The appropriate model is AI-assisted triage feeding subject-matter-expert review and ordinary rulemaking process — the analysis narrows the field of candidates, and experts confirm which ones hold up.</w:t>
      </w:r>
    </w:p>
    <w:p>
      <w:pPr>
        <w:pStyle w:val="FirstParagraph"/>
      </w:pPr>
      <w:r>
        <w:t xml:space="preserve">More data makes all of this better. A NEPATEC that continuously ingests agency records — with the structured metadata contemplated by CEQ’s NEPA and Permitting Data and Technology Standard — would turn CE identification from a one-time research exercise into standing capability.</w:t>
      </w:r>
    </w:p>
    <w:p>
      <w:r>
        <w:pict>
          <v:rect style="width:0;height:1.5pt" o:hralign="center" o:hrstd="t" o:hr="t"/>
        </w:pict>
      </w:r>
    </w:p>
    <w:p>
      <w:pPr>
        <w:pStyle w:val="FirstParagraph"/>
      </w:pPr>
      <w:r>
        <w:rPr>
          <w:iCs/>
          <w:i/>
        </w:rPr>
        <w:t xml:space="preserve">Data: NEPATEC 2.0 — 451 decarbonization FONSIs; 2,105 federal CEs (CE Explorer catalog). Methods and full results:</w:t>
      </w:r>
      <w:r>
        <w:rPr>
          <w:iCs/>
          <w:i/>
        </w:rPr>
        <w:t xml:space="preserve"> </w:t>
      </w:r>
      <w:hyperlink r:id="rId56">
        <w:r>
          <w:rPr>
            <w:rStyle w:val="Hyperlink"/>
            <w:iCs/>
            <w:i/>
          </w:rPr>
          <w:t xml:space="preserve">Phase 2 Deliverable 6</w:t>
        </w:r>
      </w:hyperlink>
      <w:r>
        <w:rPr>
          <w:iCs/>
          <w:i/>
        </w:rPr>
        <w:t xml:space="preserve"> </w:t>
      </w:r>
      <w:r>
        <w:rPr>
          <w:iCs/>
          <w:i/>
        </w:rPr>
        <w:t xml:space="preserve">and</w:t>
      </w:r>
      <w:r>
        <w:rPr>
          <w:iCs/>
          <w:i/>
        </w:rPr>
        <w:t xml:space="preserve"> </w:t>
      </w:r>
      <w:hyperlink r:id="rId57">
        <w:r>
          <w:rPr>
            <w:rStyle w:val="Hyperlink"/>
            <w:iCs/>
            <w:i/>
          </w:rPr>
          <w:t xml:space="preserve">Deliverable 3</w:t>
        </w:r>
      </w:hyperlink>
      <w:r>
        <w:rPr>
          <w:iCs/>
          <w:i/>
        </w:rPr>
        <w:t xml:space="preserve">.</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9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ucida Grande"/>
    <m:brkBin m:val="before"/>
    <m:brkBinSub m:val="--"/>
    <m:smallFrac m:val="false"/>
    <m:dispDef m:val="false"/>
    <m:lMargin m:val="0"/>
    <m:rMargin m:val="0"/>
    <m:wrapRight/>
    <m:intLim m:val="subSup"/>
    <m:naryLim m:val="subSup"/>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12169"/>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12169"/>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47BB"/>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pPr>
    <w:rPr>
      <w:rFonts w:asciiTheme="majorHAnsi" w:cstheme="majorBidi" w:eastAsiaTheme="majorEastAsia" w:hAnsiTheme="majorHAnsi"/>
      <w:bCs/>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image" Id="rId24" Target="media/rId24.png" /><Relationship Type="http://schemas.openxmlformats.org/officeDocument/2006/relationships/image" Id="rId51" Target="media/rId51.png" /><Relationship Type="http://schemas.openxmlformats.org/officeDocument/2006/relationships/image" Id="rId30" Target="media/rId30.png" /><Relationship Type="http://schemas.openxmlformats.org/officeDocument/2006/relationships/image" Id="rId20" Target="media/rId20.png" /><Relationship Type="http://schemas.openxmlformats.org/officeDocument/2006/relationships/hyperlink" Id="rId57" Target="https://www.kaseyzapatka.com/nepa/phase2/reports/deliverable03.html" TargetMode="External" /><Relationship Type="http://schemas.openxmlformats.org/officeDocument/2006/relationships/hyperlink" Id="rId56" Target="https://www.kaseyzapatka.com/nepa/phase2/reports/deliverable06.html" TargetMode="External" /></Relationships>
</file>

<file path=word/_rels/footnotes.xml.rels><?xml version="1.0" encoding="UTF-8"?><Relationships xmlns="http://schemas.openxmlformats.org/package/2006/relationships"><Relationship Type="http://schemas.openxmlformats.org/officeDocument/2006/relationships/hyperlink" Id="rId57" Target="https://www.kaseyzapatka.com/nepa/phase2/reports/deliverable03.html" TargetMode="External" /><Relationship Type="http://schemas.openxmlformats.org/officeDocument/2006/relationships/hyperlink" Id="rId56" Target="https://www.kaseyzapatka.com/nepa/phase2/reports/deliverable06.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Scaling Categorical Exclusions: Expand, Adopt, Develop</dc:title>
  <dc:creator/>
  <cp:keywords/>
  <dcterms:created xsi:type="dcterms:W3CDTF">2026-07-25T06:51:17Z</dcterms:created>
  <dcterms:modified xsi:type="dcterms:W3CDTF">2026-07-25T06:51:17Z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July 24, 2026</vt:lpwstr>
  </property>
  <property fmtid="{D5CDD505-2E9C-101B-9397-08002B2CF9AE}" pid="4" name="date-format">
    <vt:lpwstr>long</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NEPA by the Numbers — Fact Sheet 3: Categorical Exclusions</vt:lpwstr>
  </property>
  <property fmtid="{D5CDD505-2E9C-101B-9397-08002B2CF9AE}" pid="11" name="toc-title">
    <vt:lpwstr>Table of contents</vt:lpwstr>
  </property>
</Properties>
</file>