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C24B7" w14:textId="4C4279B9" w:rsidR="00071789" w:rsidRPr="00412F88" w:rsidRDefault="00282FB7" w:rsidP="00FD6380">
      <w:pPr>
        <w:spacing w:line="480" w:lineRule="auto"/>
        <w:jc w:val="both"/>
        <w:rPr>
          <w:rFonts w:ascii="Calibri" w:hAnsi="Calibri" w:cs="Calibri"/>
          <w:b/>
          <w:sz w:val="23"/>
          <w:szCs w:val="23"/>
        </w:rPr>
      </w:pPr>
      <w:r w:rsidRPr="00412F88">
        <w:rPr>
          <w:rFonts w:ascii="Calibri" w:hAnsi="Calibri" w:cs="Calibri"/>
          <w:b/>
          <w:sz w:val="23"/>
          <w:szCs w:val="23"/>
        </w:rPr>
        <w:t>I</w:t>
      </w:r>
      <w:r w:rsidR="006117B1" w:rsidRPr="00412F88">
        <w:rPr>
          <w:rFonts w:ascii="Calibri" w:hAnsi="Calibri" w:cs="Calibri"/>
          <w:b/>
          <w:sz w:val="23"/>
          <w:szCs w:val="23"/>
        </w:rPr>
        <w:t xml:space="preserve">nequality and </w:t>
      </w:r>
      <w:r w:rsidRPr="00412F88">
        <w:rPr>
          <w:rFonts w:ascii="Calibri" w:hAnsi="Calibri" w:cs="Calibri"/>
          <w:b/>
          <w:sz w:val="23"/>
          <w:szCs w:val="23"/>
        </w:rPr>
        <w:t xml:space="preserve">its definitions. </w:t>
      </w:r>
      <w:r w:rsidR="00C939FF" w:rsidRPr="00412F88">
        <w:rPr>
          <w:rFonts w:ascii="Calibri" w:hAnsi="Calibri" w:cs="Calibri"/>
          <w:sz w:val="23"/>
          <w:szCs w:val="23"/>
        </w:rPr>
        <w:t>While i</w:t>
      </w:r>
      <w:r w:rsidR="00CC6750" w:rsidRPr="00412F88">
        <w:rPr>
          <w:rFonts w:ascii="Calibri" w:hAnsi="Calibri" w:cs="Calibri"/>
          <w:sz w:val="23"/>
          <w:szCs w:val="23"/>
        </w:rPr>
        <w:t>nequality can mean many different thing</w:t>
      </w:r>
      <w:r w:rsidR="00C939FF" w:rsidRPr="00412F88">
        <w:rPr>
          <w:rFonts w:ascii="Calibri" w:hAnsi="Calibri" w:cs="Calibri"/>
          <w:sz w:val="23"/>
          <w:szCs w:val="23"/>
        </w:rPr>
        <w:t>s,</w:t>
      </w:r>
      <w:r w:rsidR="00CC6750" w:rsidRPr="00412F88">
        <w:rPr>
          <w:rFonts w:ascii="Calibri" w:hAnsi="Calibri" w:cs="Calibri"/>
          <w:sz w:val="23"/>
          <w:szCs w:val="23"/>
        </w:rPr>
        <w:t xml:space="preserve"> </w:t>
      </w:r>
      <w:r w:rsidR="004A1977" w:rsidRPr="00412F88">
        <w:rPr>
          <w:rFonts w:ascii="Calibri" w:hAnsi="Calibri" w:cs="Calibri"/>
          <w:sz w:val="23"/>
          <w:szCs w:val="23"/>
        </w:rPr>
        <w:t xml:space="preserve">Atkinson </w:t>
      </w:r>
      <w:r w:rsidR="008E036B" w:rsidRPr="00412F88">
        <w:rPr>
          <w:rFonts w:ascii="Calibri" w:hAnsi="Calibri" w:cs="Calibri"/>
          <w:sz w:val="23"/>
          <w:szCs w:val="23"/>
        </w:rPr>
        <w:t xml:space="preserve">frames it as a </w:t>
      </w:r>
      <w:r w:rsidR="00066DD2" w:rsidRPr="00412F88">
        <w:rPr>
          <w:rFonts w:ascii="Calibri" w:hAnsi="Calibri" w:cs="Calibri"/>
          <w:sz w:val="23"/>
          <w:szCs w:val="23"/>
        </w:rPr>
        <w:t xml:space="preserve">debate </w:t>
      </w:r>
      <w:r w:rsidR="008E036B" w:rsidRPr="00412F88">
        <w:rPr>
          <w:rFonts w:ascii="Calibri" w:hAnsi="Calibri" w:cs="Calibri"/>
          <w:sz w:val="23"/>
          <w:szCs w:val="23"/>
        </w:rPr>
        <w:t xml:space="preserve">that </w:t>
      </w:r>
      <w:r w:rsidR="00066DD2" w:rsidRPr="00412F88">
        <w:rPr>
          <w:rFonts w:ascii="Calibri" w:hAnsi="Calibri" w:cs="Calibri"/>
          <w:sz w:val="23"/>
          <w:szCs w:val="23"/>
        </w:rPr>
        <w:t xml:space="preserve">centers on a push for equality of </w:t>
      </w:r>
      <w:r w:rsidR="004A1977" w:rsidRPr="00412F88">
        <w:rPr>
          <w:rFonts w:ascii="Calibri" w:hAnsi="Calibri" w:cs="Calibri"/>
          <w:sz w:val="23"/>
          <w:szCs w:val="23"/>
        </w:rPr>
        <w:t>opportunit</w:t>
      </w:r>
      <w:r w:rsidR="00066DD2" w:rsidRPr="00412F88">
        <w:rPr>
          <w:rFonts w:ascii="Calibri" w:hAnsi="Calibri" w:cs="Calibri"/>
          <w:sz w:val="23"/>
          <w:szCs w:val="23"/>
        </w:rPr>
        <w:t xml:space="preserve">y vs. </w:t>
      </w:r>
      <w:r w:rsidR="008E036B" w:rsidRPr="00412F88">
        <w:rPr>
          <w:rFonts w:ascii="Calibri" w:hAnsi="Calibri" w:cs="Calibri"/>
          <w:sz w:val="23"/>
          <w:szCs w:val="23"/>
        </w:rPr>
        <w:t xml:space="preserve">equality of </w:t>
      </w:r>
      <w:r w:rsidR="004A1977" w:rsidRPr="00412F88">
        <w:rPr>
          <w:rFonts w:ascii="Calibri" w:hAnsi="Calibri" w:cs="Calibri"/>
          <w:sz w:val="23"/>
          <w:szCs w:val="23"/>
        </w:rPr>
        <w:t>outcome</w:t>
      </w:r>
      <w:r w:rsidR="00E94DD2" w:rsidRPr="00412F88">
        <w:rPr>
          <w:rFonts w:ascii="Calibri" w:hAnsi="Calibri" w:cs="Calibri"/>
          <w:sz w:val="23"/>
          <w:szCs w:val="23"/>
        </w:rPr>
        <w:t xml:space="preserve">. </w:t>
      </w:r>
      <w:r w:rsidR="00F15013" w:rsidRPr="00412F88">
        <w:rPr>
          <w:rFonts w:ascii="Calibri" w:hAnsi="Calibri" w:cs="Calibri"/>
          <w:sz w:val="23"/>
          <w:szCs w:val="23"/>
        </w:rPr>
        <w:t xml:space="preserve">Like Atkinson, I am more concerned with creating equality </w:t>
      </w:r>
      <w:r w:rsidR="00C62F99" w:rsidRPr="00412F88">
        <w:rPr>
          <w:rFonts w:ascii="Calibri" w:hAnsi="Calibri" w:cs="Calibri"/>
          <w:sz w:val="23"/>
          <w:szCs w:val="23"/>
        </w:rPr>
        <w:t xml:space="preserve">of outcomes because (1) </w:t>
      </w:r>
      <w:r w:rsidR="00F15013" w:rsidRPr="00412F88">
        <w:rPr>
          <w:rFonts w:ascii="Calibri" w:hAnsi="Calibri" w:cs="Calibri"/>
          <w:sz w:val="23"/>
          <w:szCs w:val="23"/>
        </w:rPr>
        <w:t>outcomes</w:t>
      </w:r>
      <w:r w:rsidR="00C62F99" w:rsidRPr="00412F88">
        <w:rPr>
          <w:rFonts w:ascii="Calibri" w:hAnsi="Calibri" w:cs="Calibri"/>
          <w:sz w:val="23"/>
          <w:szCs w:val="23"/>
        </w:rPr>
        <w:t xml:space="preserve"> shape opportunity for the next generation, (2) </w:t>
      </w:r>
      <w:r w:rsidR="00F15013" w:rsidRPr="00412F88">
        <w:rPr>
          <w:rFonts w:ascii="Calibri" w:hAnsi="Calibri" w:cs="Calibri"/>
          <w:sz w:val="23"/>
          <w:szCs w:val="23"/>
        </w:rPr>
        <w:t>it is inhumane to ignore</w:t>
      </w:r>
      <w:r w:rsidR="00C62F99" w:rsidRPr="00412F88">
        <w:rPr>
          <w:rFonts w:ascii="Calibri" w:hAnsi="Calibri" w:cs="Calibri"/>
          <w:sz w:val="23"/>
          <w:szCs w:val="23"/>
        </w:rPr>
        <w:t>, and (3) there is a difference between competitive and non-competitive opportunity.</w:t>
      </w:r>
      <w:r w:rsidR="00F15013" w:rsidRPr="00412F88">
        <w:rPr>
          <w:rFonts w:ascii="Calibri" w:hAnsi="Calibri" w:cs="Calibri"/>
          <w:sz w:val="23"/>
          <w:szCs w:val="23"/>
        </w:rPr>
        <w:t xml:space="preserve"> </w:t>
      </w:r>
      <w:r w:rsidR="00FD6380" w:rsidRPr="00412F88">
        <w:rPr>
          <w:rFonts w:ascii="Calibri" w:hAnsi="Calibri" w:cs="Calibri"/>
          <w:sz w:val="23"/>
          <w:szCs w:val="23"/>
        </w:rPr>
        <w:t xml:space="preserve">While there </w:t>
      </w:r>
      <w:r w:rsidR="00C73332" w:rsidRPr="00412F88">
        <w:rPr>
          <w:rFonts w:ascii="Calibri" w:hAnsi="Calibri" w:cs="Calibri"/>
          <w:sz w:val="23"/>
          <w:szCs w:val="23"/>
        </w:rPr>
        <w:t xml:space="preserve">is </w:t>
      </w:r>
      <w:r w:rsidR="00FD6380" w:rsidRPr="00412F88">
        <w:rPr>
          <w:rFonts w:ascii="Calibri" w:hAnsi="Calibri" w:cs="Calibri"/>
          <w:sz w:val="23"/>
          <w:szCs w:val="23"/>
        </w:rPr>
        <w:t xml:space="preserve">much debate about how to measure </w:t>
      </w:r>
      <w:r w:rsidR="00CE0EDE" w:rsidRPr="00412F88">
        <w:rPr>
          <w:rFonts w:ascii="Calibri" w:hAnsi="Calibri" w:cs="Calibri"/>
          <w:sz w:val="23"/>
          <w:szCs w:val="23"/>
        </w:rPr>
        <w:t xml:space="preserve">inequality </w:t>
      </w:r>
      <w:r w:rsidR="00945B50" w:rsidRPr="00412F88">
        <w:rPr>
          <w:rFonts w:ascii="Calibri" w:hAnsi="Calibri" w:cs="Calibri"/>
          <w:sz w:val="23"/>
          <w:szCs w:val="23"/>
        </w:rPr>
        <w:t>via</w:t>
      </w:r>
      <w:r w:rsidR="00CE0EDE" w:rsidRPr="00412F88">
        <w:rPr>
          <w:rFonts w:ascii="Calibri" w:hAnsi="Calibri" w:cs="Calibri"/>
          <w:sz w:val="23"/>
          <w:szCs w:val="23"/>
        </w:rPr>
        <w:t xml:space="preserve"> </w:t>
      </w:r>
      <w:r w:rsidR="00FD6380" w:rsidRPr="00412F88">
        <w:rPr>
          <w:rFonts w:ascii="Calibri" w:hAnsi="Calibri" w:cs="Calibri"/>
          <w:sz w:val="23"/>
          <w:szCs w:val="23"/>
        </w:rPr>
        <w:t>outcome</w:t>
      </w:r>
      <w:r w:rsidR="00CE0EDE" w:rsidRPr="00412F88">
        <w:rPr>
          <w:rFonts w:ascii="Calibri" w:hAnsi="Calibri" w:cs="Calibri"/>
          <w:sz w:val="23"/>
          <w:szCs w:val="23"/>
        </w:rPr>
        <w:t xml:space="preserve">s </w:t>
      </w:r>
      <w:r w:rsidR="00FD6380" w:rsidRPr="00412F88">
        <w:rPr>
          <w:rFonts w:ascii="Calibri" w:hAnsi="Calibri" w:cs="Calibri"/>
          <w:sz w:val="23"/>
          <w:szCs w:val="23"/>
        </w:rPr>
        <w:t>and which outcome</w:t>
      </w:r>
      <w:r w:rsidR="00C110CB" w:rsidRPr="00412F88">
        <w:rPr>
          <w:rFonts w:ascii="Calibri" w:hAnsi="Calibri" w:cs="Calibri"/>
          <w:sz w:val="23"/>
          <w:szCs w:val="23"/>
        </w:rPr>
        <w:t>s</w:t>
      </w:r>
      <w:r w:rsidR="00FD6380" w:rsidRPr="00412F88">
        <w:rPr>
          <w:rFonts w:ascii="Calibri" w:hAnsi="Calibri" w:cs="Calibri"/>
          <w:sz w:val="23"/>
          <w:szCs w:val="23"/>
        </w:rPr>
        <w:t xml:space="preserve"> to measure, </w:t>
      </w:r>
      <w:r w:rsidR="005A112E" w:rsidRPr="00412F88">
        <w:rPr>
          <w:rFonts w:ascii="Calibri" w:hAnsi="Calibri" w:cs="Calibri"/>
          <w:sz w:val="23"/>
          <w:szCs w:val="23"/>
        </w:rPr>
        <w:t>I agree with Atkinson</w:t>
      </w:r>
      <w:r w:rsidR="00FD6380" w:rsidRPr="00412F88">
        <w:rPr>
          <w:rFonts w:ascii="Calibri" w:hAnsi="Calibri" w:cs="Calibri"/>
          <w:sz w:val="23"/>
          <w:szCs w:val="23"/>
        </w:rPr>
        <w:t xml:space="preserve"> </w:t>
      </w:r>
      <w:r w:rsidR="00F15013" w:rsidRPr="00412F88">
        <w:rPr>
          <w:rFonts w:ascii="Calibri" w:hAnsi="Calibri" w:cs="Calibri"/>
          <w:sz w:val="23"/>
          <w:szCs w:val="23"/>
        </w:rPr>
        <w:t xml:space="preserve">that outcomes should be measured in </w:t>
      </w:r>
      <w:r w:rsidR="00D04B8F" w:rsidRPr="00412F88">
        <w:rPr>
          <w:rFonts w:ascii="Calibri" w:hAnsi="Calibri" w:cs="Calibri"/>
          <w:sz w:val="23"/>
          <w:szCs w:val="23"/>
        </w:rPr>
        <w:t xml:space="preserve">terms of </w:t>
      </w:r>
      <w:r w:rsidR="00DB1CDE" w:rsidRPr="00412F88">
        <w:rPr>
          <w:rFonts w:ascii="Calibri" w:hAnsi="Calibri" w:cs="Calibri"/>
          <w:sz w:val="23"/>
          <w:szCs w:val="23"/>
        </w:rPr>
        <w:t xml:space="preserve">the distribution of </w:t>
      </w:r>
      <w:r w:rsidR="00F15013" w:rsidRPr="00412F88">
        <w:rPr>
          <w:rFonts w:ascii="Calibri" w:hAnsi="Calibri" w:cs="Calibri"/>
          <w:sz w:val="23"/>
          <w:szCs w:val="23"/>
        </w:rPr>
        <w:t xml:space="preserve">household </w:t>
      </w:r>
      <w:r w:rsidR="007472CC" w:rsidRPr="00412F88">
        <w:rPr>
          <w:rFonts w:ascii="Calibri" w:hAnsi="Calibri" w:cs="Calibri"/>
          <w:sz w:val="23"/>
          <w:szCs w:val="23"/>
        </w:rPr>
        <w:t>income</w:t>
      </w:r>
      <w:r w:rsidR="00945B50" w:rsidRPr="00412F88">
        <w:rPr>
          <w:rFonts w:ascii="Calibri" w:hAnsi="Calibri" w:cs="Calibri"/>
          <w:sz w:val="23"/>
          <w:szCs w:val="23"/>
        </w:rPr>
        <w:t xml:space="preserve"> because it captures more dimensions of inequality</w:t>
      </w:r>
      <w:r w:rsidR="007472CC" w:rsidRPr="00412F88">
        <w:rPr>
          <w:rFonts w:ascii="Calibri" w:hAnsi="Calibri" w:cs="Calibri"/>
          <w:sz w:val="23"/>
          <w:szCs w:val="23"/>
        </w:rPr>
        <w:t>.</w:t>
      </w:r>
      <w:r w:rsidR="00F15013" w:rsidRPr="00412F88">
        <w:rPr>
          <w:rFonts w:ascii="Calibri" w:hAnsi="Calibri" w:cs="Calibri"/>
          <w:sz w:val="23"/>
          <w:szCs w:val="23"/>
        </w:rPr>
        <w:t xml:space="preserve"> Like Atkinson, I am skeptical of measuring outcomes in terms of consumption because </w:t>
      </w:r>
      <w:r w:rsidR="005A112E" w:rsidRPr="00412F88">
        <w:rPr>
          <w:rFonts w:ascii="Calibri" w:hAnsi="Calibri" w:cs="Calibri"/>
          <w:sz w:val="23"/>
          <w:szCs w:val="23"/>
        </w:rPr>
        <w:t xml:space="preserve">(1) </w:t>
      </w:r>
      <w:r w:rsidR="005B57E8" w:rsidRPr="00412F88">
        <w:rPr>
          <w:rFonts w:ascii="Calibri" w:hAnsi="Calibri" w:cs="Calibri"/>
          <w:sz w:val="23"/>
          <w:szCs w:val="23"/>
        </w:rPr>
        <w:t>they</w:t>
      </w:r>
      <w:r w:rsidR="00F15013" w:rsidRPr="00412F88">
        <w:rPr>
          <w:rFonts w:ascii="Calibri" w:hAnsi="Calibri" w:cs="Calibri"/>
          <w:sz w:val="23"/>
          <w:szCs w:val="23"/>
        </w:rPr>
        <w:t xml:space="preserve"> are actually </w:t>
      </w:r>
      <w:r w:rsidR="005A112E" w:rsidRPr="00412F88">
        <w:rPr>
          <w:rFonts w:ascii="Calibri" w:hAnsi="Calibri" w:cs="Calibri"/>
          <w:sz w:val="23"/>
          <w:szCs w:val="23"/>
        </w:rPr>
        <w:t xml:space="preserve">measuring </w:t>
      </w:r>
      <w:r w:rsidR="00F15013" w:rsidRPr="00412F88">
        <w:rPr>
          <w:rFonts w:ascii="Calibri" w:hAnsi="Calibri" w:cs="Calibri"/>
          <w:sz w:val="23"/>
          <w:szCs w:val="23"/>
        </w:rPr>
        <w:t xml:space="preserve">consumption </w:t>
      </w:r>
      <w:r w:rsidR="005A112E" w:rsidRPr="00412F88">
        <w:rPr>
          <w:rFonts w:ascii="Calibri" w:hAnsi="Calibri" w:cs="Calibri"/>
          <w:sz w:val="23"/>
          <w:szCs w:val="23"/>
        </w:rPr>
        <w:t xml:space="preserve">expenditure, (2) </w:t>
      </w:r>
      <w:r w:rsidR="005B57E8" w:rsidRPr="00412F88">
        <w:rPr>
          <w:rFonts w:ascii="Calibri" w:hAnsi="Calibri" w:cs="Calibri"/>
          <w:sz w:val="23"/>
          <w:szCs w:val="23"/>
        </w:rPr>
        <w:t>important consumptions items are</w:t>
      </w:r>
      <w:r w:rsidR="00F15013" w:rsidRPr="00412F88">
        <w:rPr>
          <w:rFonts w:ascii="Calibri" w:hAnsi="Calibri" w:cs="Calibri"/>
          <w:sz w:val="23"/>
          <w:szCs w:val="23"/>
        </w:rPr>
        <w:t xml:space="preserve"> generally under-reported</w:t>
      </w:r>
      <w:r w:rsidR="00E94DD2" w:rsidRPr="00412F88">
        <w:rPr>
          <w:rFonts w:ascii="Calibri" w:hAnsi="Calibri" w:cs="Calibri"/>
          <w:sz w:val="23"/>
          <w:szCs w:val="23"/>
        </w:rPr>
        <w:t>,</w:t>
      </w:r>
      <w:r w:rsidR="00F15013" w:rsidRPr="00412F88">
        <w:rPr>
          <w:rFonts w:ascii="Calibri" w:hAnsi="Calibri" w:cs="Calibri"/>
          <w:sz w:val="23"/>
          <w:szCs w:val="23"/>
        </w:rPr>
        <w:t xml:space="preserve"> and</w:t>
      </w:r>
      <w:r w:rsidR="00E94DD2" w:rsidRPr="00412F88">
        <w:rPr>
          <w:rFonts w:ascii="Calibri" w:hAnsi="Calibri" w:cs="Calibri"/>
          <w:sz w:val="23"/>
          <w:szCs w:val="23"/>
        </w:rPr>
        <w:t xml:space="preserve"> (3) measurements of household income are easier to standardize</w:t>
      </w:r>
      <w:r w:rsidR="00BA67AA" w:rsidRPr="00412F88">
        <w:rPr>
          <w:rFonts w:ascii="Calibri" w:hAnsi="Calibri" w:cs="Calibri"/>
          <w:sz w:val="23"/>
          <w:szCs w:val="23"/>
        </w:rPr>
        <w:t xml:space="preserve">. </w:t>
      </w:r>
    </w:p>
    <w:p w14:paraId="28279396" w14:textId="52CA3143" w:rsidR="00C40332" w:rsidRPr="00412F88" w:rsidRDefault="00945B50" w:rsidP="00C40332">
      <w:pPr>
        <w:spacing w:line="480" w:lineRule="auto"/>
        <w:ind w:firstLine="720"/>
        <w:jc w:val="both"/>
        <w:rPr>
          <w:rFonts w:ascii="Calibri" w:hAnsi="Calibri" w:cs="Calibri"/>
          <w:sz w:val="23"/>
          <w:szCs w:val="23"/>
        </w:rPr>
      </w:pPr>
      <w:r w:rsidRPr="00412F88">
        <w:rPr>
          <w:rFonts w:ascii="Calibri" w:hAnsi="Calibri" w:cs="Calibri"/>
          <w:sz w:val="23"/>
          <w:szCs w:val="23"/>
        </w:rPr>
        <w:t>M</w:t>
      </w:r>
      <w:r w:rsidR="005B57E8" w:rsidRPr="00412F88">
        <w:rPr>
          <w:rFonts w:ascii="Calibri" w:hAnsi="Calibri" w:cs="Calibri"/>
          <w:sz w:val="23"/>
          <w:szCs w:val="23"/>
        </w:rPr>
        <w:t>easuring household income</w:t>
      </w:r>
      <w:r w:rsidR="00EF227F" w:rsidRPr="00412F88">
        <w:rPr>
          <w:rFonts w:ascii="Calibri" w:hAnsi="Calibri" w:cs="Calibri"/>
          <w:sz w:val="23"/>
          <w:szCs w:val="23"/>
        </w:rPr>
        <w:t xml:space="preserve"> enables </w:t>
      </w:r>
      <w:r w:rsidR="00071789" w:rsidRPr="00412F88">
        <w:rPr>
          <w:rFonts w:ascii="Calibri" w:hAnsi="Calibri" w:cs="Calibri"/>
          <w:sz w:val="23"/>
          <w:szCs w:val="23"/>
        </w:rPr>
        <w:t>researchers</w:t>
      </w:r>
      <w:r w:rsidR="00EF227F" w:rsidRPr="00412F88">
        <w:rPr>
          <w:rFonts w:ascii="Calibri" w:hAnsi="Calibri" w:cs="Calibri"/>
          <w:sz w:val="23"/>
          <w:szCs w:val="23"/>
        </w:rPr>
        <w:t xml:space="preserve"> to </w:t>
      </w:r>
      <w:r w:rsidR="00FD6380" w:rsidRPr="00412F88">
        <w:rPr>
          <w:rFonts w:ascii="Calibri" w:hAnsi="Calibri" w:cs="Calibri"/>
          <w:sz w:val="23"/>
          <w:szCs w:val="23"/>
        </w:rPr>
        <w:t xml:space="preserve">better and </w:t>
      </w:r>
      <w:r w:rsidR="00EF227F" w:rsidRPr="00412F88">
        <w:rPr>
          <w:rFonts w:ascii="Calibri" w:hAnsi="Calibri" w:cs="Calibri"/>
          <w:sz w:val="23"/>
          <w:szCs w:val="23"/>
        </w:rPr>
        <w:t>more widel</w:t>
      </w:r>
      <w:r w:rsidR="00FD6380" w:rsidRPr="00412F88">
        <w:rPr>
          <w:rFonts w:ascii="Calibri" w:hAnsi="Calibri" w:cs="Calibri"/>
          <w:sz w:val="23"/>
          <w:szCs w:val="23"/>
        </w:rPr>
        <w:t xml:space="preserve">y measure </w:t>
      </w:r>
      <w:r w:rsidR="00EF227F" w:rsidRPr="00412F88">
        <w:rPr>
          <w:rFonts w:ascii="Calibri" w:hAnsi="Calibri" w:cs="Calibri"/>
          <w:sz w:val="23"/>
          <w:szCs w:val="23"/>
        </w:rPr>
        <w:t xml:space="preserve">the individual and collective processes that shape </w:t>
      </w:r>
      <w:r w:rsidR="008A5665" w:rsidRPr="00412F88">
        <w:rPr>
          <w:rFonts w:ascii="Calibri" w:hAnsi="Calibri" w:cs="Calibri"/>
          <w:sz w:val="23"/>
          <w:szCs w:val="23"/>
        </w:rPr>
        <w:t xml:space="preserve">inequality. </w:t>
      </w:r>
      <w:r w:rsidR="00F30A38" w:rsidRPr="00412F88">
        <w:rPr>
          <w:rFonts w:ascii="Calibri" w:hAnsi="Calibri" w:cs="Calibri"/>
          <w:sz w:val="23"/>
          <w:szCs w:val="23"/>
        </w:rPr>
        <w:t xml:space="preserve">For example, </w:t>
      </w:r>
      <w:r w:rsidR="008A5665" w:rsidRPr="00412F88">
        <w:rPr>
          <w:rFonts w:ascii="Calibri" w:hAnsi="Calibri" w:cs="Calibri"/>
          <w:sz w:val="23"/>
          <w:szCs w:val="23"/>
        </w:rPr>
        <w:t xml:space="preserve">McCall and </w:t>
      </w:r>
      <w:proofErr w:type="spellStart"/>
      <w:r w:rsidR="008A5665" w:rsidRPr="00412F88">
        <w:rPr>
          <w:rFonts w:ascii="Calibri" w:hAnsi="Calibri" w:cs="Calibri"/>
          <w:sz w:val="23"/>
          <w:szCs w:val="23"/>
        </w:rPr>
        <w:t>Percheski</w:t>
      </w:r>
      <w:proofErr w:type="spellEnd"/>
      <w:r w:rsidR="008A5665" w:rsidRPr="00412F88">
        <w:rPr>
          <w:rFonts w:ascii="Calibri" w:hAnsi="Calibri" w:cs="Calibri"/>
          <w:sz w:val="23"/>
          <w:szCs w:val="23"/>
        </w:rPr>
        <w:t xml:space="preserve"> </w:t>
      </w:r>
      <w:r w:rsidR="005B57E8" w:rsidRPr="00412F88">
        <w:rPr>
          <w:rFonts w:ascii="Calibri" w:hAnsi="Calibri" w:cs="Calibri"/>
          <w:sz w:val="23"/>
          <w:szCs w:val="23"/>
        </w:rPr>
        <w:t>highlight research on family formation practices</w:t>
      </w:r>
      <w:r w:rsidR="00EA244F" w:rsidRPr="00412F88">
        <w:rPr>
          <w:rFonts w:ascii="Calibri" w:hAnsi="Calibri" w:cs="Calibri"/>
          <w:sz w:val="23"/>
          <w:szCs w:val="23"/>
        </w:rPr>
        <w:t xml:space="preserve"> in accounting for growing family inequality. </w:t>
      </w:r>
      <w:r w:rsidR="00350A21" w:rsidRPr="00412F88">
        <w:rPr>
          <w:rFonts w:ascii="Calibri" w:hAnsi="Calibri" w:cs="Calibri"/>
          <w:sz w:val="23"/>
          <w:szCs w:val="23"/>
        </w:rPr>
        <w:t>Although more</w:t>
      </w:r>
      <w:r w:rsidR="00EA244F" w:rsidRPr="00412F88">
        <w:rPr>
          <w:rFonts w:ascii="Calibri" w:hAnsi="Calibri" w:cs="Calibri"/>
          <w:sz w:val="23"/>
          <w:szCs w:val="23"/>
        </w:rPr>
        <w:t xml:space="preserve"> women </w:t>
      </w:r>
      <w:r w:rsidR="00F30A38" w:rsidRPr="00412F88">
        <w:rPr>
          <w:rFonts w:ascii="Calibri" w:hAnsi="Calibri" w:cs="Calibri"/>
          <w:sz w:val="23"/>
          <w:szCs w:val="23"/>
        </w:rPr>
        <w:t>have entered</w:t>
      </w:r>
      <w:r w:rsidR="00350A21" w:rsidRPr="00412F88">
        <w:rPr>
          <w:rFonts w:ascii="Calibri" w:hAnsi="Calibri" w:cs="Calibri"/>
          <w:sz w:val="23"/>
          <w:szCs w:val="23"/>
        </w:rPr>
        <w:t xml:space="preserve"> the labor</w:t>
      </w:r>
      <w:r w:rsidR="005338E0" w:rsidRPr="00412F88">
        <w:rPr>
          <w:rFonts w:ascii="Calibri" w:hAnsi="Calibri" w:cs="Calibri"/>
          <w:sz w:val="23"/>
          <w:szCs w:val="23"/>
        </w:rPr>
        <w:t xml:space="preserve"> </w:t>
      </w:r>
      <w:r w:rsidR="00EA244F" w:rsidRPr="00412F88">
        <w:rPr>
          <w:rFonts w:ascii="Calibri" w:hAnsi="Calibri" w:cs="Calibri"/>
          <w:sz w:val="23"/>
          <w:szCs w:val="23"/>
        </w:rPr>
        <w:t>force</w:t>
      </w:r>
      <w:r w:rsidR="00350A21" w:rsidRPr="00412F88">
        <w:rPr>
          <w:rFonts w:ascii="Calibri" w:hAnsi="Calibri" w:cs="Calibri"/>
          <w:sz w:val="23"/>
          <w:szCs w:val="23"/>
        </w:rPr>
        <w:t xml:space="preserve">, which </w:t>
      </w:r>
      <w:r w:rsidR="009249E8" w:rsidRPr="00412F88">
        <w:rPr>
          <w:rFonts w:ascii="Calibri" w:hAnsi="Calibri" w:cs="Calibri"/>
          <w:sz w:val="23"/>
          <w:szCs w:val="23"/>
        </w:rPr>
        <w:t xml:space="preserve">give families more </w:t>
      </w:r>
      <w:r w:rsidR="00EA244F" w:rsidRPr="00412F88">
        <w:rPr>
          <w:rFonts w:ascii="Calibri" w:hAnsi="Calibri" w:cs="Calibri"/>
          <w:sz w:val="23"/>
          <w:szCs w:val="23"/>
        </w:rPr>
        <w:t xml:space="preserve">flexibility </w:t>
      </w:r>
      <w:r w:rsidR="009249E8" w:rsidRPr="00412F88">
        <w:rPr>
          <w:rFonts w:ascii="Calibri" w:hAnsi="Calibri" w:cs="Calibri"/>
          <w:sz w:val="23"/>
          <w:szCs w:val="23"/>
        </w:rPr>
        <w:t>in dividing labor and access to multiple incomes</w:t>
      </w:r>
      <w:r w:rsidR="00EA244F" w:rsidRPr="00412F88">
        <w:rPr>
          <w:rFonts w:ascii="Calibri" w:hAnsi="Calibri" w:cs="Calibri"/>
          <w:sz w:val="23"/>
          <w:szCs w:val="23"/>
        </w:rPr>
        <w:t xml:space="preserve">, it’s unclear </w:t>
      </w:r>
      <w:r w:rsidR="00CB697D" w:rsidRPr="00412F88">
        <w:rPr>
          <w:rFonts w:ascii="Calibri" w:hAnsi="Calibri" w:cs="Calibri"/>
          <w:sz w:val="23"/>
          <w:szCs w:val="23"/>
        </w:rPr>
        <w:t>if this</w:t>
      </w:r>
      <w:r w:rsidR="00EA244F" w:rsidRPr="00412F88">
        <w:rPr>
          <w:rFonts w:ascii="Calibri" w:hAnsi="Calibri" w:cs="Calibri"/>
          <w:sz w:val="23"/>
          <w:szCs w:val="23"/>
        </w:rPr>
        <w:t xml:space="preserve"> </w:t>
      </w:r>
      <w:r w:rsidR="00F30A38" w:rsidRPr="00412F88">
        <w:rPr>
          <w:rFonts w:ascii="Calibri" w:hAnsi="Calibri" w:cs="Calibri"/>
          <w:sz w:val="23"/>
          <w:szCs w:val="23"/>
        </w:rPr>
        <w:t xml:space="preserve">trend </w:t>
      </w:r>
      <w:r w:rsidR="00EA244F" w:rsidRPr="00412F88">
        <w:rPr>
          <w:rFonts w:ascii="Calibri" w:hAnsi="Calibri" w:cs="Calibri"/>
          <w:sz w:val="23"/>
          <w:szCs w:val="23"/>
        </w:rPr>
        <w:t>benefit</w:t>
      </w:r>
      <w:r w:rsidR="00CB697D" w:rsidRPr="00412F88">
        <w:rPr>
          <w:rFonts w:ascii="Calibri" w:hAnsi="Calibri" w:cs="Calibri"/>
          <w:sz w:val="23"/>
          <w:szCs w:val="23"/>
        </w:rPr>
        <w:t xml:space="preserve">s poor families </w:t>
      </w:r>
      <w:r w:rsidR="00450EB1" w:rsidRPr="00412F88">
        <w:rPr>
          <w:rFonts w:ascii="Calibri" w:hAnsi="Calibri" w:cs="Calibri"/>
          <w:sz w:val="23"/>
          <w:szCs w:val="23"/>
        </w:rPr>
        <w:t xml:space="preserve">more </w:t>
      </w:r>
      <w:r w:rsidR="00CB697D" w:rsidRPr="00412F88">
        <w:rPr>
          <w:rFonts w:ascii="Calibri" w:hAnsi="Calibri" w:cs="Calibri"/>
          <w:sz w:val="23"/>
          <w:szCs w:val="23"/>
        </w:rPr>
        <w:t xml:space="preserve">or ones that are already more </w:t>
      </w:r>
      <w:r w:rsidR="00450EB1" w:rsidRPr="00412F88">
        <w:rPr>
          <w:rFonts w:ascii="Calibri" w:hAnsi="Calibri" w:cs="Calibri"/>
          <w:sz w:val="23"/>
          <w:szCs w:val="23"/>
        </w:rPr>
        <w:t>likely</w:t>
      </w:r>
      <w:r w:rsidR="00EA244F" w:rsidRPr="00412F88">
        <w:rPr>
          <w:rFonts w:ascii="Calibri" w:hAnsi="Calibri" w:cs="Calibri"/>
          <w:sz w:val="23"/>
          <w:szCs w:val="23"/>
        </w:rPr>
        <w:t xml:space="preserve"> </w:t>
      </w:r>
      <w:r w:rsidR="00CB697D" w:rsidRPr="00412F88">
        <w:rPr>
          <w:rFonts w:ascii="Calibri" w:hAnsi="Calibri" w:cs="Calibri"/>
          <w:sz w:val="23"/>
          <w:szCs w:val="23"/>
        </w:rPr>
        <w:t>to have two income earners</w:t>
      </w:r>
      <w:r w:rsidR="00EA244F" w:rsidRPr="00412F88">
        <w:rPr>
          <w:rFonts w:ascii="Calibri" w:hAnsi="Calibri" w:cs="Calibri"/>
          <w:sz w:val="23"/>
          <w:szCs w:val="23"/>
        </w:rPr>
        <w:t xml:space="preserve">. </w:t>
      </w:r>
      <w:proofErr w:type="spellStart"/>
      <w:r w:rsidR="00C40332" w:rsidRPr="00412F88">
        <w:rPr>
          <w:rFonts w:ascii="Calibri" w:hAnsi="Calibri" w:cs="Calibri"/>
          <w:sz w:val="23"/>
          <w:szCs w:val="23"/>
        </w:rPr>
        <w:t>Kallenberg’s</w:t>
      </w:r>
      <w:proofErr w:type="spellEnd"/>
      <w:r w:rsidR="00C40332" w:rsidRPr="00412F88">
        <w:rPr>
          <w:rFonts w:ascii="Calibri" w:hAnsi="Calibri" w:cs="Calibri"/>
          <w:sz w:val="23"/>
          <w:szCs w:val="23"/>
        </w:rPr>
        <w:t xml:space="preserve"> research on precarious work highlights the increased risks </w:t>
      </w:r>
      <w:r w:rsidR="00CB697D" w:rsidRPr="00412F88">
        <w:rPr>
          <w:rFonts w:ascii="Calibri" w:hAnsi="Calibri" w:cs="Calibri"/>
          <w:sz w:val="23"/>
          <w:szCs w:val="23"/>
        </w:rPr>
        <w:t>of employment insecurity to</w:t>
      </w:r>
      <w:r w:rsidR="00C40332" w:rsidRPr="00412F88">
        <w:rPr>
          <w:rFonts w:ascii="Calibri" w:hAnsi="Calibri" w:cs="Calibri"/>
          <w:sz w:val="23"/>
          <w:szCs w:val="23"/>
        </w:rPr>
        <w:t xml:space="preserve"> households</w:t>
      </w:r>
      <w:r w:rsidR="00CB697D" w:rsidRPr="00412F88">
        <w:rPr>
          <w:rFonts w:ascii="Calibri" w:hAnsi="Calibri" w:cs="Calibri"/>
          <w:sz w:val="23"/>
          <w:szCs w:val="23"/>
        </w:rPr>
        <w:t>, especially those at the bottom</w:t>
      </w:r>
      <w:r w:rsidR="00C40332" w:rsidRPr="00412F88">
        <w:rPr>
          <w:rFonts w:ascii="Calibri" w:hAnsi="Calibri" w:cs="Calibri"/>
          <w:sz w:val="23"/>
          <w:szCs w:val="23"/>
        </w:rPr>
        <w:t xml:space="preserve">.  </w:t>
      </w:r>
      <w:r w:rsidR="00EA244F" w:rsidRPr="00412F88">
        <w:rPr>
          <w:rFonts w:ascii="Calibri" w:hAnsi="Calibri" w:cs="Calibri"/>
          <w:sz w:val="23"/>
          <w:szCs w:val="23"/>
        </w:rPr>
        <w:t xml:space="preserve">Western et. al. point to the eroding of social and political institutions—the state, the labor market, and the family—that have traditionally </w:t>
      </w:r>
      <w:r w:rsidR="00CB697D" w:rsidRPr="00412F88">
        <w:rPr>
          <w:rFonts w:ascii="Calibri" w:hAnsi="Calibri" w:cs="Calibri"/>
          <w:sz w:val="23"/>
          <w:szCs w:val="23"/>
        </w:rPr>
        <w:t>enabled</w:t>
      </w:r>
      <w:r w:rsidR="00EA244F" w:rsidRPr="00412F88">
        <w:rPr>
          <w:rFonts w:ascii="Calibri" w:hAnsi="Calibri" w:cs="Calibri"/>
          <w:sz w:val="23"/>
          <w:szCs w:val="23"/>
        </w:rPr>
        <w:t xml:space="preserve"> households </w:t>
      </w:r>
      <w:r w:rsidR="00CB697D" w:rsidRPr="00412F88">
        <w:rPr>
          <w:rFonts w:ascii="Calibri" w:hAnsi="Calibri" w:cs="Calibri"/>
          <w:sz w:val="23"/>
          <w:szCs w:val="23"/>
        </w:rPr>
        <w:t>to spread and mitigate</w:t>
      </w:r>
      <w:r w:rsidR="00EA244F" w:rsidRPr="00412F88">
        <w:rPr>
          <w:rFonts w:ascii="Calibri" w:hAnsi="Calibri" w:cs="Calibri"/>
          <w:sz w:val="23"/>
          <w:szCs w:val="23"/>
        </w:rPr>
        <w:t xml:space="preserve"> risk. Increases in single family households, less</w:t>
      </w:r>
      <w:r w:rsidR="00E0732C" w:rsidRPr="00412F88">
        <w:rPr>
          <w:rFonts w:ascii="Calibri" w:hAnsi="Calibri" w:cs="Calibri"/>
          <w:sz w:val="23"/>
          <w:szCs w:val="23"/>
        </w:rPr>
        <w:t xml:space="preserve"> </w:t>
      </w:r>
      <w:r w:rsidR="00EA244F" w:rsidRPr="00412F88">
        <w:rPr>
          <w:rFonts w:ascii="Calibri" w:hAnsi="Calibri" w:cs="Calibri"/>
          <w:sz w:val="23"/>
          <w:szCs w:val="23"/>
        </w:rPr>
        <w:t>employment security, and health issues</w:t>
      </w:r>
      <w:r w:rsidR="00C40332" w:rsidRPr="00412F88">
        <w:rPr>
          <w:rFonts w:ascii="Calibri" w:hAnsi="Calibri" w:cs="Calibri"/>
          <w:sz w:val="23"/>
          <w:szCs w:val="23"/>
        </w:rPr>
        <w:t xml:space="preserve"> now exacerbate inequality at the bottom and force families to employ new strategies to confront those insecurities</w:t>
      </w:r>
      <w:r w:rsidR="00EA244F" w:rsidRPr="00412F88">
        <w:rPr>
          <w:rFonts w:ascii="Calibri" w:hAnsi="Calibri" w:cs="Calibri"/>
          <w:sz w:val="23"/>
          <w:szCs w:val="23"/>
        </w:rPr>
        <w:t>—</w:t>
      </w:r>
      <w:r w:rsidR="00C40332" w:rsidRPr="00412F88">
        <w:rPr>
          <w:rFonts w:ascii="Calibri" w:hAnsi="Calibri" w:cs="Calibri"/>
          <w:sz w:val="23"/>
          <w:szCs w:val="23"/>
        </w:rPr>
        <w:t xml:space="preserve">increased </w:t>
      </w:r>
      <w:r w:rsidR="00C40332" w:rsidRPr="00412F88">
        <w:rPr>
          <w:rFonts w:ascii="Calibri" w:hAnsi="Calibri" w:cs="Calibri"/>
          <w:sz w:val="23"/>
          <w:szCs w:val="23"/>
        </w:rPr>
        <w:lastRenderedPageBreak/>
        <w:t>reliance on government subsidies,</w:t>
      </w:r>
      <w:r w:rsidR="00F2388E" w:rsidRPr="00412F88">
        <w:rPr>
          <w:rFonts w:ascii="Calibri" w:hAnsi="Calibri" w:cs="Calibri"/>
          <w:sz w:val="23"/>
          <w:szCs w:val="23"/>
        </w:rPr>
        <w:t xml:space="preserve"> </w:t>
      </w:r>
      <w:r w:rsidR="00C40332" w:rsidRPr="00412F88">
        <w:rPr>
          <w:rFonts w:ascii="Calibri" w:hAnsi="Calibri" w:cs="Calibri"/>
          <w:sz w:val="23"/>
          <w:szCs w:val="23"/>
        </w:rPr>
        <w:t>co-</w:t>
      </w:r>
      <w:r w:rsidR="00F30A38" w:rsidRPr="00412F88">
        <w:rPr>
          <w:rFonts w:ascii="Calibri" w:hAnsi="Calibri" w:cs="Calibri"/>
          <w:sz w:val="23"/>
          <w:szCs w:val="23"/>
        </w:rPr>
        <w:t>habitation</w:t>
      </w:r>
      <w:r w:rsidR="00C40332" w:rsidRPr="00412F88">
        <w:rPr>
          <w:rFonts w:ascii="Calibri" w:hAnsi="Calibri" w:cs="Calibri"/>
          <w:sz w:val="23"/>
          <w:szCs w:val="23"/>
        </w:rPr>
        <w:t xml:space="preserve">, </w:t>
      </w:r>
      <w:r w:rsidR="00450EB1" w:rsidRPr="00412F88">
        <w:rPr>
          <w:rFonts w:ascii="Calibri" w:hAnsi="Calibri" w:cs="Calibri"/>
          <w:sz w:val="23"/>
          <w:szCs w:val="23"/>
        </w:rPr>
        <w:t>alternative</w:t>
      </w:r>
      <w:r w:rsidR="00C40332" w:rsidRPr="00412F88">
        <w:rPr>
          <w:rFonts w:ascii="Calibri" w:hAnsi="Calibri" w:cs="Calibri"/>
          <w:sz w:val="23"/>
          <w:szCs w:val="23"/>
        </w:rPr>
        <w:t xml:space="preserve"> family formation practices, working more jobs,</w:t>
      </w:r>
      <w:r w:rsidR="00F30A38" w:rsidRPr="00412F88">
        <w:rPr>
          <w:rFonts w:ascii="Calibri" w:hAnsi="Calibri" w:cs="Calibri"/>
          <w:sz w:val="23"/>
          <w:szCs w:val="23"/>
        </w:rPr>
        <w:t xml:space="preserve"> etc</w:t>
      </w:r>
      <w:r w:rsidR="00C40332" w:rsidRPr="00412F88">
        <w:rPr>
          <w:rFonts w:ascii="Calibri" w:hAnsi="Calibri" w:cs="Calibri"/>
          <w:sz w:val="23"/>
          <w:szCs w:val="23"/>
        </w:rPr>
        <w:t xml:space="preserve">. </w:t>
      </w:r>
    </w:p>
    <w:p w14:paraId="2A6C1F37" w14:textId="7447FD36" w:rsidR="009C5872" w:rsidRPr="00412F88" w:rsidRDefault="00282FB7" w:rsidP="00D71B73">
      <w:pPr>
        <w:spacing w:line="480" w:lineRule="auto"/>
        <w:jc w:val="both"/>
        <w:rPr>
          <w:rFonts w:ascii="Calibri" w:hAnsi="Calibri" w:cs="Calibri"/>
          <w:sz w:val="23"/>
          <w:szCs w:val="23"/>
        </w:rPr>
      </w:pPr>
      <w:r w:rsidRPr="00412F88">
        <w:rPr>
          <w:rFonts w:ascii="Calibri" w:hAnsi="Calibri" w:cs="Calibri"/>
          <w:b/>
          <w:sz w:val="23"/>
          <w:szCs w:val="23"/>
        </w:rPr>
        <w:t>T</w:t>
      </w:r>
      <w:r w:rsidR="006117B1" w:rsidRPr="00412F88">
        <w:rPr>
          <w:rFonts w:ascii="Calibri" w:hAnsi="Calibri" w:cs="Calibri"/>
          <w:b/>
          <w:sz w:val="23"/>
          <w:szCs w:val="23"/>
        </w:rPr>
        <w:t xml:space="preserve">rends and </w:t>
      </w:r>
      <w:r w:rsidR="00A1441B" w:rsidRPr="00412F88">
        <w:rPr>
          <w:rFonts w:ascii="Calibri" w:hAnsi="Calibri" w:cs="Calibri"/>
          <w:b/>
          <w:sz w:val="23"/>
          <w:szCs w:val="23"/>
        </w:rPr>
        <w:t>P</w:t>
      </w:r>
      <w:r w:rsidR="006117B1" w:rsidRPr="00412F88">
        <w:rPr>
          <w:rFonts w:ascii="Calibri" w:hAnsi="Calibri" w:cs="Calibri"/>
          <w:b/>
          <w:sz w:val="23"/>
          <w:szCs w:val="23"/>
        </w:rPr>
        <w:t>atterns</w:t>
      </w:r>
      <w:r w:rsidRPr="00412F88">
        <w:rPr>
          <w:rFonts w:ascii="Calibri" w:hAnsi="Calibri" w:cs="Calibri"/>
          <w:b/>
          <w:sz w:val="23"/>
          <w:szCs w:val="23"/>
        </w:rPr>
        <w:t>.</w:t>
      </w:r>
      <w:r w:rsidRPr="00412F88">
        <w:rPr>
          <w:rFonts w:ascii="Calibri" w:hAnsi="Calibri" w:cs="Calibri"/>
          <w:sz w:val="23"/>
          <w:szCs w:val="23"/>
        </w:rPr>
        <w:t xml:space="preserve"> </w:t>
      </w:r>
      <w:r w:rsidR="00450EB1" w:rsidRPr="00412F88">
        <w:rPr>
          <w:rFonts w:ascii="Calibri" w:hAnsi="Calibri" w:cs="Calibri"/>
          <w:sz w:val="23"/>
          <w:szCs w:val="23"/>
        </w:rPr>
        <w:t>Three</w:t>
      </w:r>
      <w:r w:rsidR="00ED4432" w:rsidRPr="00412F88">
        <w:rPr>
          <w:rFonts w:ascii="Calibri" w:hAnsi="Calibri" w:cs="Calibri"/>
          <w:sz w:val="23"/>
          <w:szCs w:val="23"/>
        </w:rPr>
        <w:t xml:space="preserve"> trends</w:t>
      </w:r>
      <w:r w:rsidR="00104C54" w:rsidRPr="00412F88">
        <w:rPr>
          <w:rFonts w:ascii="Calibri" w:hAnsi="Calibri" w:cs="Calibri"/>
          <w:sz w:val="23"/>
          <w:szCs w:val="23"/>
        </w:rPr>
        <w:t xml:space="preserve"> from the</w:t>
      </w:r>
      <w:r w:rsidR="00C40332" w:rsidRPr="00412F88">
        <w:rPr>
          <w:rFonts w:ascii="Calibri" w:hAnsi="Calibri" w:cs="Calibri"/>
          <w:sz w:val="23"/>
          <w:szCs w:val="23"/>
        </w:rPr>
        <w:t xml:space="preserve"> </w:t>
      </w:r>
      <w:r w:rsidR="008248CC" w:rsidRPr="00412F88">
        <w:rPr>
          <w:rFonts w:ascii="Calibri" w:hAnsi="Calibri" w:cs="Calibri"/>
          <w:sz w:val="23"/>
          <w:szCs w:val="23"/>
        </w:rPr>
        <w:t>income literature</w:t>
      </w:r>
      <w:r w:rsidR="00C40332" w:rsidRPr="00412F88">
        <w:rPr>
          <w:rFonts w:ascii="Calibri" w:hAnsi="Calibri" w:cs="Calibri"/>
          <w:sz w:val="23"/>
          <w:szCs w:val="23"/>
        </w:rPr>
        <w:t xml:space="preserve"> </w:t>
      </w:r>
      <w:r w:rsidR="00104C54" w:rsidRPr="00412F88">
        <w:rPr>
          <w:rFonts w:ascii="Calibri" w:hAnsi="Calibri" w:cs="Calibri"/>
          <w:sz w:val="23"/>
          <w:szCs w:val="23"/>
        </w:rPr>
        <w:t xml:space="preserve">are </w:t>
      </w:r>
      <w:r w:rsidR="008248CC" w:rsidRPr="00412F88">
        <w:rPr>
          <w:rFonts w:ascii="Calibri" w:hAnsi="Calibri" w:cs="Calibri"/>
          <w:sz w:val="23"/>
          <w:szCs w:val="23"/>
        </w:rPr>
        <w:t>worth highlighting</w:t>
      </w:r>
      <w:r w:rsidR="00C40332" w:rsidRPr="00412F88">
        <w:rPr>
          <w:rFonts w:ascii="Calibri" w:hAnsi="Calibri" w:cs="Calibri"/>
          <w:sz w:val="23"/>
          <w:szCs w:val="23"/>
        </w:rPr>
        <w:t xml:space="preserve">. </w:t>
      </w:r>
      <w:r w:rsidR="004167DF" w:rsidRPr="00412F88">
        <w:rPr>
          <w:rFonts w:ascii="Calibri" w:hAnsi="Calibri" w:cs="Calibri"/>
          <w:sz w:val="23"/>
          <w:szCs w:val="23"/>
        </w:rPr>
        <w:t xml:space="preserve">First, </w:t>
      </w:r>
      <w:r w:rsidR="00402EFA" w:rsidRPr="00412F88">
        <w:rPr>
          <w:rFonts w:ascii="Calibri" w:hAnsi="Calibri" w:cs="Calibri"/>
          <w:sz w:val="23"/>
          <w:szCs w:val="23"/>
        </w:rPr>
        <w:t>income inequality has followed a U-shaped pattern</w:t>
      </w:r>
      <w:r w:rsidR="00C047BB" w:rsidRPr="00412F88">
        <w:rPr>
          <w:rFonts w:ascii="Calibri" w:hAnsi="Calibri" w:cs="Calibri"/>
          <w:sz w:val="23"/>
          <w:szCs w:val="23"/>
        </w:rPr>
        <w:t xml:space="preserve">—higher in the early 1900s, lower during the 1940s and beginning to rise in the 1980 and 1990s (earlier by some accounts). </w:t>
      </w:r>
      <w:r w:rsidR="003F4164" w:rsidRPr="00412F88">
        <w:rPr>
          <w:rFonts w:ascii="Calibri" w:hAnsi="Calibri" w:cs="Calibri"/>
          <w:sz w:val="23"/>
          <w:szCs w:val="23"/>
        </w:rPr>
        <w:t>Piketty and Saez argue th</w:t>
      </w:r>
      <w:r w:rsidR="00F30A38" w:rsidRPr="00412F88">
        <w:rPr>
          <w:rFonts w:ascii="Calibri" w:hAnsi="Calibri" w:cs="Calibri"/>
          <w:sz w:val="23"/>
          <w:szCs w:val="23"/>
        </w:rPr>
        <w:t xml:space="preserve">at the negative economic </w:t>
      </w:r>
      <w:r w:rsidR="00526F4E" w:rsidRPr="00412F88">
        <w:rPr>
          <w:rFonts w:ascii="Calibri" w:hAnsi="Calibri" w:cs="Calibri"/>
          <w:sz w:val="23"/>
          <w:szCs w:val="23"/>
        </w:rPr>
        <w:t>shock</w:t>
      </w:r>
      <w:r w:rsidR="00F30A38" w:rsidRPr="00412F88">
        <w:rPr>
          <w:rFonts w:ascii="Calibri" w:hAnsi="Calibri" w:cs="Calibri"/>
          <w:sz w:val="23"/>
          <w:szCs w:val="23"/>
        </w:rPr>
        <w:t xml:space="preserve">s </w:t>
      </w:r>
      <w:r w:rsidR="008248CC" w:rsidRPr="00412F88">
        <w:rPr>
          <w:rFonts w:ascii="Calibri" w:hAnsi="Calibri" w:cs="Calibri"/>
          <w:sz w:val="23"/>
          <w:szCs w:val="23"/>
        </w:rPr>
        <w:t>of</w:t>
      </w:r>
      <w:r w:rsidR="00526F4E" w:rsidRPr="00412F88">
        <w:rPr>
          <w:rFonts w:ascii="Calibri" w:hAnsi="Calibri" w:cs="Calibri"/>
          <w:sz w:val="23"/>
          <w:szCs w:val="23"/>
        </w:rPr>
        <w:t xml:space="preserve"> the </w:t>
      </w:r>
      <w:r w:rsidR="003F4164" w:rsidRPr="00412F88">
        <w:rPr>
          <w:rFonts w:ascii="Calibri" w:hAnsi="Calibri" w:cs="Calibri"/>
          <w:sz w:val="23"/>
          <w:szCs w:val="23"/>
        </w:rPr>
        <w:t xml:space="preserve">world wars </w:t>
      </w:r>
      <w:r w:rsidR="008248CC" w:rsidRPr="00412F88">
        <w:rPr>
          <w:rFonts w:ascii="Calibri" w:hAnsi="Calibri" w:cs="Calibri"/>
          <w:sz w:val="23"/>
          <w:szCs w:val="23"/>
        </w:rPr>
        <w:t xml:space="preserve">dramatically reduced capital and wealth holdings—which </w:t>
      </w:r>
      <w:r w:rsidR="00526F4E" w:rsidRPr="00412F88">
        <w:rPr>
          <w:rFonts w:ascii="Calibri" w:hAnsi="Calibri" w:cs="Calibri"/>
          <w:sz w:val="23"/>
          <w:szCs w:val="23"/>
        </w:rPr>
        <w:t>have not since recovered to their pre-war heights</w:t>
      </w:r>
      <w:r w:rsidR="008248CC" w:rsidRPr="00412F88">
        <w:rPr>
          <w:rFonts w:ascii="Calibri" w:hAnsi="Calibri" w:cs="Calibri"/>
          <w:sz w:val="23"/>
          <w:szCs w:val="23"/>
        </w:rPr>
        <w:t>—and that income from wages now dominates the incomes of</w:t>
      </w:r>
      <w:r w:rsidR="00A46ED8" w:rsidRPr="00412F88">
        <w:rPr>
          <w:rFonts w:ascii="Calibri" w:hAnsi="Calibri" w:cs="Calibri"/>
          <w:sz w:val="23"/>
          <w:szCs w:val="23"/>
        </w:rPr>
        <w:t xml:space="preserve"> top earners</w:t>
      </w:r>
      <w:r w:rsidR="008248CC" w:rsidRPr="00412F88">
        <w:rPr>
          <w:rFonts w:ascii="Calibri" w:hAnsi="Calibri" w:cs="Calibri"/>
          <w:sz w:val="23"/>
          <w:szCs w:val="23"/>
        </w:rPr>
        <w:t>. T</w:t>
      </w:r>
      <w:r w:rsidR="0094159C" w:rsidRPr="00412F88">
        <w:rPr>
          <w:rFonts w:ascii="Calibri" w:hAnsi="Calibri" w:cs="Calibri"/>
          <w:sz w:val="23"/>
          <w:szCs w:val="23"/>
        </w:rPr>
        <w:t xml:space="preserve">he “working rich have replaced rentiers at the top of the income distribution.” </w:t>
      </w:r>
      <w:r w:rsidR="00FE1FAF" w:rsidRPr="00412F88">
        <w:rPr>
          <w:rFonts w:ascii="Calibri" w:hAnsi="Calibri" w:cs="Calibri"/>
          <w:sz w:val="23"/>
          <w:szCs w:val="23"/>
        </w:rPr>
        <w:t xml:space="preserve">They contrast their findings in the US with France, where wage shares for top </w:t>
      </w:r>
      <w:r w:rsidR="00B96C43" w:rsidRPr="00412F88">
        <w:rPr>
          <w:rFonts w:ascii="Calibri" w:hAnsi="Calibri" w:cs="Calibri"/>
          <w:sz w:val="23"/>
          <w:szCs w:val="23"/>
        </w:rPr>
        <w:t xml:space="preserve">earners </w:t>
      </w:r>
      <w:r w:rsidR="00FE1FAF" w:rsidRPr="00412F88">
        <w:rPr>
          <w:rFonts w:ascii="Calibri" w:hAnsi="Calibri" w:cs="Calibri"/>
          <w:sz w:val="23"/>
          <w:szCs w:val="23"/>
        </w:rPr>
        <w:t>recovered more quickly after WWII</w:t>
      </w:r>
      <w:r w:rsidR="00B96C43" w:rsidRPr="00412F88">
        <w:rPr>
          <w:rFonts w:ascii="Calibri" w:hAnsi="Calibri" w:cs="Calibri"/>
          <w:sz w:val="23"/>
          <w:szCs w:val="23"/>
        </w:rPr>
        <w:t xml:space="preserve">, but capital income </w:t>
      </w:r>
      <w:r w:rsidR="008248CC" w:rsidRPr="00412F88">
        <w:rPr>
          <w:rFonts w:ascii="Calibri" w:hAnsi="Calibri" w:cs="Calibri"/>
          <w:sz w:val="23"/>
          <w:szCs w:val="23"/>
        </w:rPr>
        <w:t>has remained</w:t>
      </w:r>
      <w:r w:rsidR="00B96C43" w:rsidRPr="00412F88">
        <w:rPr>
          <w:rFonts w:ascii="Calibri" w:hAnsi="Calibri" w:cs="Calibri"/>
          <w:sz w:val="23"/>
          <w:szCs w:val="23"/>
        </w:rPr>
        <w:t xml:space="preserve"> a larger share of </w:t>
      </w:r>
      <w:r w:rsidR="00FE1FAF" w:rsidRPr="00412F88">
        <w:rPr>
          <w:rFonts w:ascii="Calibri" w:hAnsi="Calibri" w:cs="Calibri"/>
          <w:sz w:val="23"/>
          <w:szCs w:val="23"/>
        </w:rPr>
        <w:t xml:space="preserve">top incomes today </w:t>
      </w:r>
      <w:r w:rsidR="00B96C43" w:rsidRPr="00412F88">
        <w:rPr>
          <w:rFonts w:ascii="Calibri" w:hAnsi="Calibri" w:cs="Calibri"/>
          <w:sz w:val="23"/>
          <w:szCs w:val="23"/>
        </w:rPr>
        <w:t>than in the US</w:t>
      </w:r>
      <w:r w:rsidR="008248CC" w:rsidRPr="00412F88">
        <w:rPr>
          <w:rFonts w:ascii="Calibri" w:hAnsi="Calibri" w:cs="Calibri"/>
          <w:sz w:val="23"/>
          <w:szCs w:val="23"/>
        </w:rPr>
        <w:t>—t</w:t>
      </w:r>
      <w:r w:rsidR="00715D0A" w:rsidRPr="00412F88">
        <w:rPr>
          <w:rFonts w:ascii="Calibri" w:hAnsi="Calibri" w:cs="Calibri"/>
          <w:sz w:val="23"/>
          <w:szCs w:val="23"/>
        </w:rPr>
        <w:t>he</w:t>
      </w:r>
      <w:r w:rsidR="008248CC" w:rsidRPr="00412F88">
        <w:rPr>
          <w:rFonts w:ascii="Calibri" w:hAnsi="Calibri" w:cs="Calibri"/>
          <w:sz w:val="23"/>
          <w:szCs w:val="23"/>
        </w:rPr>
        <w:t xml:space="preserve"> </w:t>
      </w:r>
      <w:r w:rsidR="000E02D4" w:rsidRPr="00412F88">
        <w:rPr>
          <w:rFonts w:ascii="Calibri" w:hAnsi="Calibri" w:cs="Calibri"/>
          <w:sz w:val="23"/>
          <w:szCs w:val="23"/>
        </w:rPr>
        <w:t xml:space="preserve">US is the land of booming incomes </w:t>
      </w:r>
      <w:r w:rsidR="00F30A38" w:rsidRPr="00412F88">
        <w:rPr>
          <w:rFonts w:ascii="Calibri" w:hAnsi="Calibri" w:cs="Calibri"/>
          <w:sz w:val="23"/>
          <w:szCs w:val="23"/>
        </w:rPr>
        <w:t>while</w:t>
      </w:r>
      <w:r w:rsidR="000E02D4" w:rsidRPr="00412F88">
        <w:rPr>
          <w:rFonts w:ascii="Calibri" w:hAnsi="Calibri" w:cs="Calibri"/>
          <w:sz w:val="23"/>
          <w:szCs w:val="23"/>
        </w:rPr>
        <w:t xml:space="preserve"> Europe </w:t>
      </w:r>
      <w:r w:rsidR="00715D0A" w:rsidRPr="00412F88">
        <w:rPr>
          <w:rFonts w:ascii="Calibri" w:hAnsi="Calibri" w:cs="Calibri"/>
          <w:sz w:val="23"/>
          <w:szCs w:val="23"/>
        </w:rPr>
        <w:t xml:space="preserve">booming </w:t>
      </w:r>
      <w:r w:rsidR="000E02D4" w:rsidRPr="00412F88">
        <w:rPr>
          <w:rFonts w:ascii="Calibri" w:hAnsi="Calibri" w:cs="Calibri"/>
          <w:sz w:val="23"/>
          <w:szCs w:val="23"/>
        </w:rPr>
        <w:t>wealth</w:t>
      </w:r>
      <w:r w:rsidR="00F30A38" w:rsidRPr="00412F88">
        <w:rPr>
          <w:rFonts w:ascii="Calibri" w:hAnsi="Calibri" w:cs="Calibri"/>
          <w:sz w:val="23"/>
          <w:szCs w:val="23"/>
        </w:rPr>
        <w:t xml:space="preserve">. This is the result of </w:t>
      </w:r>
      <w:r w:rsidR="000E02D4" w:rsidRPr="00412F88">
        <w:rPr>
          <w:rFonts w:ascii="Calibri" w:hAnsi="Calibri" w:cs="Calibri"/>
          <w:sz w:val="23"/>
          <w:szCs w:val="23"/>
        </w:rPr>
        <w:t xml:space="preserve">slower </w:t>
      </w:r>
      <w:r w:rsidR="00715D0A" w:rsidRPr="00412F88">
        <w:rPr>
          <w:rFonts w:ascii="Calibri" w:hAnsi="Calibri" w:cs="Calibri"/>
          <w:sz w:val="23"/>
          <w:szCs w:val="23"/>
        </w:rPr>
        <w:t xml:space="preserve">European </w:t>
      </w:r>
      <w:r w:rsidR="000E02D4" w:rsidRPr="00412F88">
        <w:rPr>
          <w:rFonts w:ascii="Calibri" w:hAnsi="Calibri" w:cs="Calibri"/>
          <w:sz w:val="23"/>
          <w:szCs w:val="23"/>
        </w:rPr>
        <w:t xml:space="preserve">rates of return on growth </w:t>
      </w:r>
      <w:r w:rsidR="00715D0A" w:rsidRPr="00412F88">
        <w:rPr>
          <w:rFonts w:ascii="Calibri" w:hAnsi="Calibri" w:cs="Calibri"/>
          <w:sz w:val="23"/>
          <w:szCs w:val="23"/>
        </w:rPr>
        <w:t xml:space="preserve">and </w:t>
      </w:r>
      <w:r w:rsidR="00A46ED8" w:rsidRPr="00412F88">
        <w:rPr>
          <w:rFonts w:ascii="Calibri" w:hAnsi="Calibri" w:cs="Calibri"/>
          <w:sz w:val="23"/>
          <w:szCs w:val="23"/>
        </w:rPr>
        <w:t xml:space="preserve">the US </w:t>
      </w:r>
      <w:r w:rsidR="000E02D4" w:rsidRPr="00412F88">
        <w:rPr>
          <w:rFonts w:ascii="Calibri" w:hAnsi="Calibri" w:cs="Calibri"/>
          <w:sz w:val="23"/>
          <w:szCs w:val="23"/>
        </w:rPr>
        <w:t>reduction of progressive taxes and social norms of</w:t>
      </w:r>
      <w:r w:rsidR="00A46ED8" w:rsidRPr="00412F88">
        <w:rPr>
          <w:rFonts w:ascii="Calibri" w:hAnsi="Calibri" w:cs="Calibri"/>
          <w:sz w:val="23"/>
          <w:szCs w:val="23"/>
        </w:rPr>
        <w:t xml:space="preserve"> higher</w:t>
      </w:r>
      <w:r w:rsidR="000E02D4" w:rsidRPr="00412F88">
        <w:rPr>
          <w:rFonts w:ascii="Calibri" w:hAnsi="Calibri" w:cs="Calibri"/>
          <w:sz w:val="23"/>
          <w:szCs w:val="23"/>
        </w:rPr>
        <w:t xml:space="preserve"> executive pay</w:t>
      </w:r>
      <w:r w:rsidR="00A46ED8" w:rsidRPr="00412F88">
        <w:rPr>
          <w:rFonts w:ascii="Calibri" w:hAnsi="Calibri" w:cs="Calibri"/>
          <w:sz w:val="23"/>
          <w:szCs w:val="23"/>
        </w:rPr>
        <w:t>.</w:t>
      </w:r>
      <w:r w:rsidR="00D71B73" w:rsidRPr="00412F88">
        <w:rPr>
          <w:rFonts w:ascii="Calibri" w:hAnsi="Calibri" w:cs="Calibri"/>
          <w:sz w:val="23"/>
          <w:szCs w:val="23"/>
        </w:rPr>
        <w:t xml:space="preserve"> </w:t>
      </w:r>
      <w:r w:rsidR="00911480" w:rsidRPr="00412F88">
        <w:rPr>
          <w:rFonts w:ascii="Calibri" w:hAnsi="Calibri" w:cs="Calibri"/>
          <w:sz w:val="23"/>
          <w:szCs w:val="23"/>
        </w:rPr>
        <w:t xml:space="preserve">While </w:t>
      </w:r>
      <w:r w:rsidR="00BC4742" w:rsidRPr="00412F88">
        <w:rPr>
          <w:rFonts w:ascii="Calibri" w:hAnsi="Calibri" w:cs="Calibri"/>
          <w:sz w:val="23"/>
          <w:szCs w:val="23"/>
        </w:rPr>
        <w:t>Atkinson</w:t>
      </w:r>
      <w:r w:rsidR="00D71B73" w:rsidRPr="00412F88">
        <w:rPr>
          <w:rFonts w:ascii="Calibri" w:hAnsi="Calibri" w:cs="Calibri"/>
          <w:sz w:val="23"/>
          <w:szCs w:val="23"/>
        </w:rPr>
        <w:t xml:space="preserve"> </w:t>
      </w:r>
      <w:r w:rsidR="00AF7334" w:rsidRPr="00412F88">
        <w:rPr>
          <w:rFonts w:ascii="Calibri" w:hAnsi="Calibri" w:cs="Calibri"/>
          <w:sz w:val="23"/>
          <w:szCs w:val="23"/>
        </w:rPr>
        <w:t xml:space="preserve">tends to </w:t>
      </w:r>
      <w:r w:rsidR="00BC4742" w:rsidRPr="00412F88">
        <w:rPr>
          <w:rFonts w:ascii="Calibri" w:hAnsi="Calibri" w:cs="Calibri"/>
          <w:sz w:val="23"/>
          <w:szCs w:val="23"/>
        </w:rPr>
        <w:t>emphasi</w:t>
      </w:r>
      <w:r w:rsidR="00D71B73" w:rsidRPr="00412F88">
        <w:rPr>
          <w:rFonts w:ascii="Calibri" w:hAnsi="Calibri" w:cs="Calibri"/>
          <w:sz w:val="23"/>
          <w:szCs w:val="23"/>
        </w:rPr>
        <w:t>ze</w:t>
      </w:r>
      <w:r w:rsidR="00AF7334" w:rsidRPr="00412F88">
        <w:rPr>
          <w:rFonts w:ascii="Calibri" w:hAnsi="Calibri" w:cs="Calibri"/>
          <w:sz w:val="23"/>
          <w:szCs w:val="23"/>
        </w:rPr>
        <w:t xml:space="preserve"> </w:t>
      </w:r>
      <w:r w:rsidR="00D71B73" w:rsidRPr="00412F88">
        <w:rPr>
          <w:rFonts w:ascii="Calibri" w:hAnsi="Calibri" w:cs="Calibri"/>
          <w:sz w:val="23"/>
          <w:szCs w:val="23"/>
        </w:rPr>
        <w:t>the</w:t>
      </w:r>
      <w:r w:rsidR="00BC4742" w:rsidRPr="00412F88">
        <w:rPr>
          <w:rFonts w:ascii="Calibri" w:hAnsi="Calibri" w:cs="Calibri"/>
          <w:sz w:val="23"/>
          <w:szCs w:val="23"/>
        </w:rPr>
        <w:t xml:space="preserve"> role </w:t>
      </w:r>
      <w:r w:rsidR="00D8046D" w:rsidRPr="00412F88">
        <w:rPr>
          <w:rFonts w:ascii="Calibri" w:hAnsi="Calibri" w:cs="Calibri"/>
          <w:sz w:val="23"/>
          <w:szCs w:val="23"/>
        </w:rPr>
        <w:t xml:space="preserve">of </w:t>
      </w:r>
      <w:r w:rsidR="00AF7334" w:rsidRPr="00412F88">
        <w:rPr>
          <w:rFonts w:ascii="Calibri" w:hAnsi="Calibri" w:cs="Calibri"/>
          <w:sz w:val="23"/>
          <w:szCs w:val="23"/>
        </w:rPr>
        <w:t xml:space="preserve">changing labor market dynamics </w:t>
      </w:r>
      <w:r w:rsidR="00911480" w:rsidRPr="00412F88">
        <w:rPr>
          <w:rFonts w:ascii="Calibri" w:hAnsi="Calibri" w:cs="Calibri"/>
          <w:sz w:val="23"/>
          <w:szCs w:val="23"/>
        </w:rPr>
        <w:t>that increased</w:t>
      </w:r>
      <w:r w:rsidR="00D8046D" w:rsidRPr="00412F88">
        <w:rPr>
          <w:rFonts w:ascii="Calibri" w:hAnsi="Calibri" w:cs="Calibri"/>
          <w:sz w:val="23"/>
          <w:szCs w:val="23"/>
        </w:rPr>
        <w:t xml:space="preserve"> the floor</w:t>
      </w:r>
      <w:r w:rsidR="00911480" w:rsidRPr="00412F88">
        <w:rPr>
          <w:rFonts w:ascii="Calibri" w:hAnsi="Calibri" w:cs="Calibri"/>
          <w:sz w:val="23"/>
          <w:szCs w:val="23"/>
        </w:rPr>
        <w:t xml:space="preserve"> and therefore kept income inequality stable until the 1980s, </w:t>
      </w:r>
      <w:r w:rsidR="00D8046D" w:rsidRPr="00412F88">
        <w:rPr>
          <w:rFonts w:ascii="Calibri" w:hAnsi="Calibri" w:cs="Calibri"/>
          <w:sz w:val="23"/>
          <w:szCs w:val="23"/>
        </w:rPr>
        <w:t xml:space="preserve">it is hard to ignore the </w:t>
      </w:r>
      <w:r w:rsidR="0047045D" w:rsidRPr="00412F88">
        <w:rPr>
          <w:rFonts w:ascii="Calibri" w:hAnsi="Calibri" w:cs="Calibri"/>
          <w:sz w:val="23"/>
          <w:szCs w:val="23"/>
        </w:rPr>
        <w:t xml:space="preserve">Piketty and </w:t>
      </w:r>
      <w:proofErr w:type="spellStart"/>
      <w:r w:rsidR="00715825" w:rsidRPr="00412F88">
        <w:rPr>
          <w:rFonts w:ascii="Calibri" w:hAnsi="Calibri" w:cs="Calibri"/>
          <w:sz w:val="23"/>
          <w:szCs w:val="23"/>
        </w:rPr>
        <w:t>Saez’</w:t>
      </w:r>
      <w:r w:rsidR="00D71B73" w:rsidRPr="00412F88">
        <w:rPr>
          <w:rFonts w:ascii="Calibri" w:hAnsi="Calibri" w:cs="Calibri"/>
          <w:sz w:val="23"/>
          <w:szCs w:val="23"/>
        </w:rPr>
        <w:t>s</w:t>
      </w:r>
      <w:proofErr w:type="spellEnd"/>
      <w:r w:rsidR="00D71B73" w:rsidRPr="00412F88">
        <w:rPr>
          <w:rFonts w:ascii="Calibri" w:hAnsi="Calibri" w:cs="Calibri"/>
          <w:sz w:val="23"/>
          <w:szCs w:val="23"/>
        </w:rPr>
        <w:t xml:space="preserve"> </w:t>
      </w:r>
      <w:r w:rsidR="00715825" w:rsidRPr="00412F88">
        <w:rPr>
          <w:rFonts w:ascii="Calibri" w:hAnsi="Calibri" w:cs="Calibri"/>
          <w:sz w:val="23"/>
          <w:szCs w:val="23"/>
        </w:rPr>
        <w:t xml:space="preserve">argument about the differing </w:t>
      </w:r>
      <w:r w:rsidR="00D8046D" w:rsidRPr="00412F88">
        <w:rPr>
          <w:rFonts w:ascii="Calibri" w:hAnsi="Calibri" w:cs="Calibri"/>
          <w:sz w:val="23"/>
          <w:szCs w:val="23"/>
        </w:rPr>
        <w:t>social norms</w:t>
      </w:r>
      <w:r w:rsidR="002660DC" w:rsidRPr="00412F88">
        <w:rPr>
          <w:rFonts w:ascii="Calibri" w:hAnsi="Calibri" w:cs="Calibri"/>
          <w:sz w:val="23"/>
          <w:szCs w:val="23"/>
        </w:rPr>
        <w:t xml:space="preserve"> surrounding US executive pay as </w:t>
      </w:r>
      <w:r w:rsidR="00450EB1" w:rsidRPr="00412F88">
        <w:rPr>
          <w:rFonts w:ascii="Calibri" w:hAnsi="Calibri" w:cs="Calibri"/>
          <w:sz w:val="23"/>
          <w:szCs w:val="23"/>
        </w:rPr>
        <w:t>one of the</w:t>
      </w:r>
      <w:r w:rsidR="00D71B73" w:rsidRPr="00412F88">
        <w:rPr>
          <w:rFonts w:ascii="Calibri" w:hAnsi="Calibri" w:cs="Calibri"/>
          <w:sz w:val="23"/>
          <w:szCs w:val="23"/>
        </w:rPr>
        <w:t xml:space="preserve"> central </w:t>
      </w:r>
      <w:r w:rsidR="008248CC" w:rsidRPr="00412F88">
        <w:rPr>
          <w:rFonts w:ascii="Calibri" w:hAnsi="Calibri" w:cs="Calibri"/>
          <w:sz w:val="23"/>
          <w:szCs w:val="23"/>
        </w:rPr>
        <w:t>explanations</w:t>
      </w:r>
      <w:r w:rsidR="002660DC" w:rsidRPr="00412F88">
        <w:rPr>
          <w:rFonts w:ascii="Calibri" w:hAnsi="Calibri" w:cs="Calibri"/>
          <w:sz w:val="23"/>
          <w:szCs w:val="23"/>
        </w:rPr>
        <w:t xml:space="preserve"> for rising levels of inequality in the US</w:t>
      </w:r>
      <w:r w:rsidR="008248CC" w:rsidRPr="00412F88">
        <w:rPr>
          <w:rFonts w:ascii="Calibri" w:hAnsi="Calibri" w:cs="Calibri"/>
          <w:sz w:val="23"/>
          <w:szCs w:val="23"/>
        </w:rPr>
        <w:t xml:space="preserve">. </w:t>
      </w:r>
      <w:r w:rsidR="00F30A38" w:rsidRPr="00412F88">
        <w:rPr>
          <w:rFonts w:ascii="Calibri" w:hAnsi="Calibri" w:cs="Calibri"/>
          <w:sz w:val="23"/>
          <w:szCs w:val="23"/>
        </w:rPr>
        <w:t xml:space="preserve">Other researchers like, </w:t>
      </w:r>
      <w:r w:rsidR="00715825" w:rsidRPr="00412F88">
        <w:rPr>
          <w:rFonts w:ascii="Calibri" w:hAnsi="Calibri" w:cs="Calibri"/>
          <w:bCs/>
          <w:sz w:val="23"/>
          <w:szCs w:val="23"/>
        </w:rPr>
        <w:t xml:space="preserve">McCall and </w:t>
      </w:r>
      <w:proofErr w:type="spellStart"/>
      <w:r w:rsidR="00715825" w:rsidRPr="00412F88">
        <w:rPr>
          <w:rFonts w:ascii="Calibri" w:hAnsi="Calibri" w:cs="Calibri"/>
          <w:bCs/>
          <w:sz w:val="23"/>
          <w:szCs w:val="23"/>
        </w:rPr>
        <w:t>Percheski</w:t>
      </w:r>
      <w:proofErr w:type="spellEnd"/>
      <w:r w:rsidR="00F30A38" w:rsidRPr="00412F88">
        <w:rPr>
          <w:rFonts w:ascii="Calibri" w:hAnsi="Calibri" w:cs="Calibri"/>
          <w:bCs/>
          <w:sz w:val="23"/>
          <w:szCs w:val="23"/>
        </w:rPr>
        <w:t>,</w:t>
      </w:r>
      <w:r w:rsidR="003D63A8" w:rsidRPr="00412F88">
        <w:rPr>
          <w:rFonts w:ascii="Calibri" w:hAnsi="Calibri" w:cs="Calibri"/>
          <w:bCs/>
          <w:sz w:val="23"/>
          <w:szCs w:val="23"/>
        </w:rPr>
        <w:t xml:space="preserve"> have made</w:t>
      </w:r>
      <w:r w:rsidR="008248CC" w:rsidRPr="00412F88">
        <w:rPr>
          <w:rFonts w:ascii="Calibri" w:hAnsi="Calibri" w:cs="Calibri"/>
          <w:bCs/>
          <w:sz w:val="23"/>
          <w:szCs w:val="23"/>
        </w:rPr>
        <w:t xml:space="preserve"> similar argument</w:t>
      </w:r>
      <w:r w:rsidR="003D63A8" w:rsidRPr="00412F88">
        <w:rPr>
          <w:rFonts w:ascii="Calibri" w:hAnsi="Calibri" w:cs="Calibri"/>
          <w:bCs/>
          <w:sz w:val="23"/>
          <w:szCs w:val="23"/>
        </w:rPr>
        <w:t>s</w:t>
      </w:r>
      <w:r w:rsidR="00715825" w:rsidRPr="00412F88">
        <w:rPr>
          <w:rFonts w:ascii="Calibri" w:hAnsi="Calibri" w:cs="Calibri"/>
          <w:bCs/>
          <w:sz w:val="23"/>
          <w:szCs w:val="23"/>
        </w:rPr>
        <w:t xml:space="preserve"> that </w:t>
      </w:r>
      <w:r w:rsidR="00F30A38" w:rsidRPr="00412F88">
        <w:rPr>
          <w:rFonts w:ascii="Calibri" w:hAnsi="Calibri" w:cs="Calibri"/>
          <w:bCs/>
          <w:sz w:val="23"/>
          <w:szCs w:val="23"/>
        </w:rPr>
        <w:t xml:space="preserve">US </w:t>
      </w:r>
      <w:r w:rsidR="00715825" w:rsidRPr="00412F88">
        <w:rPr>
          <w:rFonts w:ascii="Calibri" w:hAnsi="Calibri" w:cs="Calibri"/>
          <w:bCs/>
          <w:sz w:val="23"/>
          <w:szCs w:val="23"/>
        </w:rPr>
        <w:t>executives’ salaries, bonuses, and stock options have soared sin</w:t>
      </w:r>
      <w:r w:rsidR="00627FB0" w:rsidRPr="00412F88">
        <w:rPr>
          <w:rFonts w:ascii="Calibri" w:hAnsi="Calibri" w:cs="Calibri"/>
          <w:bCs/>
          <w:sz w:val="23"/>
          <w:szCs w:val="23"/>
        </w:rPr>
        <w:t>c</w:t>
      </w:r>
      <w:r w:rsidR="00715825" w:rsidRPr="00412F88">
        <w:rPr>
          <w:rFonts w:ascii="Calibri" w:hAnsi="Calibri" w:cs="Calibri"/>
          <w:bCs/>
          <w:sz w:val="23"/>
          <w:szCs w:val="23"/>
        </w:rPr>
        <w:t>e the 1970s</w:t>
      </w:r>
      <w:r w:rsidR="008248CC" w:rsidRPr="00412F88">
        <w:rPr>
          <w:rFonts w:ascii="Calibri" w:hAnsi="Calibri" w:cs="Calibri"/>
          <w:bCs/>
          <w:sz w:val="23"/>
          <w:szCs w:val="23"/>
        </w:rPr>
        <w:t xml:space="preserve">. A pre-distribution argument, I tend to think that the drastic </w:t>
      </w:r>
      <w:r w:rsidR="008248CC" w:rsidRPr="00412F88">
        <w:rPr>
          <w:rFonts w:ascii="Calibri" w:hAnsi="Calibri" w:cs="Calibri"/>
          <w:sz w:val="23"/>
          <w:szCs w:val="23"/>
        </w:rPr>
        <w:t xml:space="preserve">reduction of </w:t>
      </w:r>
      <w:r w:rsidR="008248CC" w:rsidRPr="00412F88">
        <w:rPr>
          <w:rFonts w:ascii="Calibri" w:hAnsi="Calibri" w:cs="Calibri"/>
          <w:sz w:val="23"/>
          <w:szCs w:val="23"/>
        </w:rPr>
        <w:t>progressive tax rates</w:t>
      </w:r>
      <w:r w:rsidR="008248CC" w:rsidRPr="00412F88">
        <w:rPr>
          <w:rFonts w:ascii="Calibri" w:hAnsi="Calibri" w:cs="Calibri"/>
          <w:sz w:val="23"/>
          <w:szCs w:val="23"/>
        </w:rPr>
        <w:t xml:space="preserve">, a redistribution argument, played a large role in </w:t>
      </w:r>
      <w:r w:rsidR="003D63A8" w:rsidRPr="00412F88">
        <w:rPr>
          <w:rFonts w:ascii="Calibri" w:hAnsi="Calibri" w:cs="Calibri"/>
          <w:sz w:val="23"/>
          <w:szCs w:val="23"/>
        </w:rPr>
        <w:t xml:space="preserve">reviving income and wealth inequality. </w:t>
      </w:r>
    </w:p>
    <w:p w14:paraId="6B83F5EF" w14:textId="100DE733" w:rsidR="007378FA" w:rsidRPr="00412F88" w:rsidRDefault="00324BAA" w:rsidP="007378FA">
      <w:pPr>
        <w:spacing w:line="480" w:lineRule="auto"/>
        <w:ind w:firstLine="720"/>
        <w:jc w:val="both"/>
        <w:rPr>
          <w:rFonts w:ascii="Calibri" w:hAnsi="Calibri" w:cs="Calibri"/>
          <w:sz w:val="23"/>
          <w:szCs w:val="23"/>
        </w:rPr>
      </w:pPr>
      <w:r w:rsidRPr="00412F88">
        <w:rPr>
          <w:rFonts w:ascii="Calibri" w:hAnsi="Calibri" w:cs="Calibri"/>
          <w:sz w:val="23"/>
          <w:szCs w:val="23"/>
        </w:rPr>
        <w:t>S</w:t>
      </w:r>
      <w:r w:rsidR="009C5872" w:rsidRPr="00412F88">
        <w:rPr>
          <w:rFonts w:ascii="Calibri" w:hAnsi="Calibri" w:cs="Calibri"/>
          <w:sz w:val="23"/>
          <w:szCs w:val="23"/>
        </w:rPr>
        <w:t>econd</w:t>
      </w:r>
      <w:r w:rsidRPr="00412F88">
        <w:rPr>
          <w:rFonts w:ascii="Calibri" w:hAnsi="Calibri" w:cs="Calibri"/>
          <w:sz w:val="23"/>
          <w:szCs w:val="23"/>
        </w:rPr>
        <w:t xml:space="preserve">, </w:t>
      </w:r>
      <w:r w:rsidR="00F30A38" w:rsidRPr="00412F88">
        <w:rPr>
          <w:rFonts w:ascii="Calibri" w:hAnsi="Calibri" w:cs="Calibri"/>
          <w:sz w:val="23"/>
          <w:szCs w:val="23"/>
        </w:rPr>
        <w:t xml:space="preserve">the literature discussed a </w:t>
      </w:r>
      <w:r w:rsidR="000C5FF3" w:rsidRPr="00412F88">
        <w:rPr>
          <w:rFonts w:ascii="Calibri" w:hAnsi="Calibri" w:cs="Calibri"/>
          <w:sz w:val="23"/>
          <w:szCs w:val="23"/>
        </w:rPr>
        <w:t xml:space="preserve">withering away of social and political institutions that have largely maintained a role in helping </w:t>
      </w:r>
      <w:r w:rsidR="006F473B" w:rsidRPr="00412F88">
        <w:rPr>
          <w:rFonts w:ascii="Calibri" w:hAnsi="Calibri" w:cs="Calibri"/>
          <w:sz w:val="23"/>
          <w:szCs w:val="23"/>
        </w:rPr>
        <w:t xml:space="preserve">families mitigate risk and insecurity. This was largely the </w:t>
      </w:r>
      <w:r w:rsidR="00DD0F56" w:rsidRPr="00412F88">
        <w:rPr>
          <w:rFonts w:ascii="Calibri" w:hAnsi="Calibri" w:cs="Calibri"/>
          <w:sz w:val="23"/>
          <w:szCs w:val="23"/>
        </w:rPr>
        <w:t>point</w:t>
      </w:r>
      <w:r w:rsidR="006F473B" w:rsidRPr="00412F88">
        <w:rPr>
          <w:rFonts w:ascii="Calibri" w:hAnsi="Calibri" w:cs="Calibri"/>
          <w:sz w:val="23"/>
          <w:szCs w:val="23"/>
        </w:rPr>
        <w:t xml:space="preserve"> of </w:t>
      </w:r>
      <w:r w:rsidR="006F473B" w:rsidRPr="00412F88">
        <w:rPr>
          <w:rFonts w:ascii="Calibri" w:hAnsi="Calibri" w:cs="Calibri"/>
          <w:sz w:val="23"/>
          <w:szCs w:val="23"/>
        </w:rPr>
        <w:lastRenderedPageBreak/>
        <w:t>Western et</w:t>
      </w:r>
      <w:r w:rsidR="00176EC4" w:rsidRPr="00412F88">
        <w:rPr>
          <w:rFonts w:ascii="Calibri" w:hAnsi="Calibri" w:cs="Calibri"/>
          <w:sz w:val="23"/>
          <w:szCs w:val="23"/>
        </w:rPr>
        <w:t xml:space="preserve"> </w:t>
      </w:r>
      <w:r w:rsidR="006F473B" w:rsidRPr="00412F88">
        <w:rPr>
          <w:rFonts w:ascii="Calibri" w:hAnsi="Calibri" w:cs="Calibri"/>
          <w:sz w:val="23"/>
          <w:szCs w:val="23"/>
        </w:rPr>
        <w:t>al</w:t>
      </w:r>
      <w:r w:rsidR="00261E1B" w:rsidRPr="00412F88">
        <w:rPr>
          <w:rFonts w:ascii="Calibri" w:hAnsi="Calibri" w:cs="Calibri"/>
          <w:sz w:val="23"/>
          <w:szCs w:val="23"/>
        </w:rPr>
        <w:t>.</w:t>
      </w:r>
      <w:r w:rsidR="00446D96" w:rsidRPr="00412F88">
        <w:rPr>
          <w:rFonts w:ascii="Calibri" w:hAnsi="Calibri" w:cs="Calibri"/>
          <w:sz w:val="23"/>
          <w:szCs w:val="23"/>
        </w:rPr>
        <w:t xml:space="preserve"> </w:t>
      </w:r>
      <w:r w:rsidR="00F30A38" w:rsidRPr="00412F88">
        <w:rPr>
          <w:rFonts w:ascii="Calibri" w:hAnsi="Calibri" w:cs="Calibri"/>
          <w:sz w:val="23"/>
          <w:szCs w:val="23"/>
        </w:rPr>
        <w:fldChar w:fldCharType="begin" w:fldLock="1"/>
      </w:r>
      <w:r w:rsidR="00176EC4" w:rsidRPr="00412F88">
        <w:rPr>
          <w:rFonts w:ascii="Calibri" w:hAnsi="Calibri" w:cs="Calibri"/>
          <w:sz w:val="23"/>
          <w:szCs w:val="23"/>
        </w:rPr>
        <w:instrText>ADDIN CSL_CITATION {"citationItems":[{"id":"ITEM-1","itemData":{"DOI":"10.1146/annurev-soc-071811-145434","ISSN":"0360-0572","abstract":"Economic insecurity describes the risk of economic loss faced by workers and households as they encounter the unpredictable events of social life. Our review suggests a four-part framework for studying the distribution and trends in these economic risks. First, a focus on households rather than workers captures the microlevel risk pooling that can smooth income flows and stabilize economic well-being. Second, insecurity is related to income volatility and the risk of downward mobility into poverty. Third, adverse events such as unemployment, family dissolution, or poor health commonly trigger income losses. Fourth, the effects of adverse events are mitigated by insurance relationships provided by government programs, employer benefits, and the informal support of families. Empirical research in these areas reveals high levels of economic insecurity among low-income households and suggests an increase in economic insecurity with the growth in economic inequality in the United States.","author":[{"dropping-particle":"","family":"Western","given":"Bruce","non-dropping-particle":"","parse-names":false,"suffix":""},{"dropping-particle":"","family":"Bloome","given":"Deirdre","non-dropping-particle":"","parse-names":false,"suffix":""},{"dropping-particle":"","family":"Sosnaud","given":"Benjamin","non-dropping-particle":"","parse-names":false,"suffix":""},{"dropping-particle":"","family":"Tach","given":"Laura","non-dropping-particle":"","parse-names":false,"suffix":""}],"container-title":"Annual Review of Sociology","id":"ITEM-1","issue":"1","issued":{"date-parts":[["2012","7","13"]]},"note":"doi: 10.1146/annurev-soc-071811-145434","page":"341-359","publisher":"Annual Reviews","title":"Economic Insecurity and Social Stratification","type":"article-journal","volume":"38"},"suppress-author":1,"uris":["http://www.mendeley.com/documents/?uuid=638de51b-407a-48b0-9cf9-0602d24bd64b"]}],"mendeley":{"formattedCitation":"(2012)","plainTextFormattedCitation":"(2012)","previouslyFormattedCitation":"(2012)"},"properties":{"noteIndex":0},"schema":"https://github.com/citation-style-language/schema/raw/master/csl-citation.json"}</w:instrText>
      </w:r>
      <w:r w:rsidR="00F30A38" w:rsidRPr="00412F88">
        <w:rPr>
          <w:rFonts w:ascii="Calibri" w:hAnsi="Calibri" w:cs="Calibri"/>
          <w:sz w:val="23"/>
          <w:szCs w:val="23"/>
        </w:rPr>
        <w:fldChar w:fldCharType="separate"/>
      </w:r>
      <w:r w:rsidR="00176EC4" w:rsidRPr="00412F88">
        <w:rPr>
          <w:rFonts w:ascii="Calibri" w:hAnsi="Calibri" w:cs="Calibri"/>
          <w:noProof/>
          <w:sz w:val="23"/>
          <w:szCs w:val="23"/>
        </w:rPr>
        <w:t>(2012)</w:t>
      </w:r>
      <w:r w:rsidR="00F30A38" w:rsidRPr="00412F88">
        <w:rPr>
          <w:rFonts w:ascii="Calibri" w:hAnsi="Calibri" w:cs="Calibri"/>
          <w:sz w:val="23"/>
          <w:szCs w:val="23"/>
        </w:rPr>
        <w:fldChar w:fldCharType="end"/>
      </w:r>
      <w:r w:rsidR="00DD0F56" w:rsidRPr="00412F88">
        <w:rPr>
          <w:rFonts w:ascii="Calibri" w:hAnsi="Calibri" w:cs="Calibri"/>
          <w:sz w:val="23"/>
          <w:szCs w:val="23"/>
        </w:rPr>
        <w:t xml:space="preserve">—that </w:t>
      </w:r>
      <w:r w:rsidR="006F473B" w:rsidRPr="00412F88">
        <w:rPr>
          <w:rFonts w:ascii="Calibri" w:hAnsi="Calibri" w:cs="Calibri"/>
          <w:sz w:val="23"/>
          <w:szCs w:val="23"/>
        </w:rPr>
        <w:t>the institutions that have played large roles in distributing risk</w:t>
      </w:r>
      <w:r w:rsidR="00DD0F56" w:rsidRPr="00412F88">
        <w:rPr>
          <w:rFonts w:ascii="Calibri" w:hAnsi="Calibri" w:cs="Calibri"/>
          <w:sz w:val="23"/>
          <w:szCs w:val="23"/>
        </w:rPr>
        <w:t xml:space="preserve"> (</w:t>
      </w:r>
      <w:r w:rsidR="006F473B" w:rsidRPr="00412F88">
        <w:rPr>
          <w:rFonts w:ascii="Calibri" w:hAnsi="Calibri" w:cs="Calibri"/>
          <w:sz w:val="23"/>
          <w:szCs w:val="23"/>
        </w:rPr>
        <w:t>the family, the state, and the labor market</w:t>
      </w:r>
      <w:r w:rsidR="00DD0F56" w:rsidRPr="00412F88">
        <w:rPr>
          <w:rFonts w:ascii="Calibri" w:hAnsi="Calibri" w:cs="Calibri"/>
          <w:sz w:val="23"/>
          <w:szCs w:val="23"/>
        </w:rPr>
        <w:t xml:space="preserve">) </w:t>
      </w:r>
      <w:r w:rsidR="006F473B" w:rsidRPr="00412F88">
        <w:rPr>
          <w:rFonts w:ascii="Calibri" w:hAnsi="Calibri" w:cs="Calibri"/>
          <w:sz w:val="23"/>
          <w:szCs w:val="23"/>
        </w:rPr>
        <w:t>have been subject to drastic changes over the years</w:t>
      </w:r>
      <w:r w:rsidR="008B6637" w:rsidRPr="00412F88">
        <w:rPr>
          <w:rFonts w:ascii="Calibri" w:hAnsi="Calibri" w:cs="Calibri"/>
          <w:sz w:val="23"/>
          <w:szCs w:val="23"/>
        </w:rPr>
        <w:t>, i.e., t</w:t>
      </w:r>
      <w:r w:rsidR="00261E1B" w:rsidRPr="00412F88">
        <w:rPr>
          <w:rFonts w:ascii="Calibri" w:hAnsi="Calibri" w:cs="Calibri"/>
          <w:sz w:val="23"/>
          <w:szCs w:val="23"/>
        </w:rPr>
        <w:t>he rise of single</w:t>
      </w:r>
      <w:r w:rsidR="007378FA" w:rsidRPr="00412F88">
        <w:rPr>
          <w:rFonts w:ascii="Calibri" w:hAnsi="Calibri" w:cs="Calibri"/>
          <w:sz w:val="23"/>
          <w:szCs w:val="23"/>
        </w:rPr>
        <w:t>-</w:t>
      </w:r>
      <w:r w:rsidR="00261E1B" w:rsidRPr="00412F88">
        <w:rPr>
          <w:rFonts w:ascii="Calibri" w:hAnsi="Calibri" w:cs="Calibri"/>
          <w:sz w:val="23"/>
          <w:szCs w:val="23"/>
        </w:rPr>
        <w:t xml:space="preserve">family households, </w:t>
      </w:r>
      <w:r w:rsidR="00DD0F56" w:rsidRPr="00412F88">
        <w:rPr>
          <w:rFonts w:ascii="Calibri" w:hAnsi="Calibri" w:cs="Calibri"/>
          <w:sz w:val="23"/>
          <w:szCs w:val="23"/>
        </w:rPr>
        <w:t xml:space="preserve">increasing </w:t>
      </w:r>
      <w:r w:rsidR="00261E1B" w:rsidRPr="00412F88">
        <w:rPr>
          <w:rFonts w:ascii="Calibri" w:hAnsi="Calibri" w:cs="Calibri"/>
          <w:sz w:val="23"/>
          <w:szCs w:val="23"/>
        </w:rPr>
        <w:t xml:space="preserve">job precarity, </w:t>
      </w:r>
      <w:r w:rsidR="00DD0F56" w:rsidRPr="00412F88">
        <w:rPr>
          <w:rFonts w:ascii="Calibri" w:hAnsi="Calibri" w:cs="Calibri"/>
          <w:sz w:val="23"/>
          <w:szCs w:val="23"/>
        </w:rPr>
        <w:t xml:space="preserve">and </w:t>
      </w:r>
      <w:r w:rsidR="00261E1B" w:rsidRPr="00412F88">
        <w:rPr>
          <w:rFonts w:ascii="Calibri" w:hAnsi="Calibri" w:cs="Calibri"/>
          <w:sz w:val="23"/>
          <w:szCs w:val="23"/>
        </w:rPr>
        <w:t xml:space="preserve">the shrinking of the welfare state. </w:t>
      </w:r>
      <w:r w:rsidR="007378FA" w:rsidRPr="00412F88">
        <w:rPr>
          <w:rFonts w:ascii="Calibri" w:hAnsi="Calibri" w:cs="Calibri"/>
          <w:sz w:val="23"/>
          <w:szCs w:val="23"/>
        </w:rPr>
        <w:t>“Whereas rising economic inequality, at least since the late 1980s, is a story about increasing incomes at the top of the distribution, rising insecurity appears to be a story about increasing risks to households at the bottom”</w:t>
      </w:r>
      <w:r w:rsidR="00DD342E" w:rsidRPr="00412F88">
        <w:rPr>
          <w:rFonts w:ascii="Calibri" w:hAnsi="Calibri" w:cs="Calibri"/>
          <w:sz w:val="23"/>
          <w:szCs w:val="23"/>
        </w:rPr>
        <w:t xml:space="preserve"> </w:t>
      </w:r>
      <w:r w:rsidR="00407F5F" w:rsidRPr="00412F88">
        <w:rPr>
          <w:rFonts w:ascii="Calibri" w:hAnsi="Calibri" w:cs="Calibri"/>
          <w:sz w:val="23"/>
          <w:szCs w:val="23"/>
        </w:rPr>
        <w:fldChar w:fldCharType="begin" w:fldLock="1"/>
      </w:r>
      <w:r w:rsidR="00F323A4" w:rsidRPr="00412F88">
        <w:rPr>
          <w:rFonts w:ascii="Calibri" w:hAnsi="Calibri" w:cs="Calibri"/>
          <w:sz w:val="23"/>
          <w:szCs w:val="23"/>
        </w:rPr>
        <w:instrText>ADDIN CSL_CITATION {"citationItems":[{"id":"ITEM-1","itemData":{"DOI":"10.1146/annurev-soc-071811-145434","ISSN":"0360-0572","abstract":"Economic insecurity describes the risk of economic loss faced by workers and households as they encounter the unpredictable events of social life. Our review suggests a four-part framework for studying the distribution and trends in these economic risks. First, a focus on households rather than workers captures the microlevel risk pooling that can smooth income flows and stabilize economic well-being. Second, insecurity is related to income volatility and the risk of downward mobility into poverty. Third, adverse events such as unemployment, family dissolution, or poor health commonly trigger income losses. Fourth, the effects of adverse events are mitigated by insurance relationships provided by government programs, employer benefits, and the informal support of families. Empirical research in these areas reveals high levels of economic insecurity among low-income households and suggests an increase in economic insecurity with the growth in economic inequality in the United States.","author":[{"dropping-particle":"","family":"Western","given":"Bruce","non-dropping-particle":"","parse-names":false,"suffix":""},{"dropping-particle":"","family":"Bloome","given":"Deirdre","non-dropping-particle":"","parse-names":false,"suffix":""},{"dropping-particle":"","family":"Sosnaud","given":"Benjamin","non-dropping-particle":"","parse-names":false,"suffix":""},{"dropping-particle":"","family":"Tach","given":"Laura","non-dropping-particle":"","parse-names":false,"suffix":""}],"container-title":"Annual Review of Sociology","id":"ITEM-1","issue":"1","issued":{"date-parts":[["2012","7","13"]]},"note":"doi: 10.1146/annurev-soc-071811-145434","page":"341-359","publisher":"Annual Reviews","title":"Economic Insecurity and Social Stratification","type":"article-journal","volume":"38"},"locator":"355","uris":["http://www.mendeley.com/documents/?uuid=638de51b-407a-48b0-9cf9-0602d24bd64b"]}],"mendeley":{"formattedCitation":"(Western et al. 2012:355)","plainTextFormattedCitation":"(Western et al. 2012:355)","previouslyFormattedCitation":"(Western et al. 2012:355)"},"properties":{"noteIndex":0},"schema":"https://github.com/citation-style-language/schema/raw/master/csl-citation.json"}</w:instrText>
      </w:r>
      <w:r w:rsidR="00407F5F" w:rsidRPr="00412F88">
        <w:rPr>
          <w:rFonts w:ascii="Calibri" w:hAnsi="Calibri" w:cs="Calibri"/>
          <w:sz w:val="23"/>
          <w:szCs w:val="23"/>
        </w:rPr>
        <w:fldChar w:fldCharType="separate"/>
      </w:r>
      <w:r w:rsidR="00407F5F" w:rsidRPr="00412F88">
        <w:rPr>
          <w:rFonts w:ascii="Calibri" w:hAnsi="Calibri" w:cs="Calibri"/>
          <w:noProof/>
          <w:sz w:val="23"/>
          <w:szCs w:val="23"/>
        </w:rPr>
        <w:t>(Western et al. 2012:355)</w:t>
      </w:r>
      <w:r w:rsidR="00407F5F" w:rsidRPr="00412F88">
        <w:rPr>
          <w:rFonts w:ascii="Calibri" w:hAnsi="Calibri" w:cs="Calibri"/>
          <w:sz w:val="23"/>
          <w:szCs w:val="23"/>
        </w:rPr>
        <w:fldChar w:fldCharType="end"/>
      </w:r>
      <w:r w:rsidR="00407F5F" w:rsidRPr="00412F88">
        <w:rPr>
          <w:rFonts w:ascii="Calibri" w:hAnsi="Calibri" w:cs="Calibri"/>
          <w:sz w:val="23"/>
          <w:szCs w:val="23"/>
        </w:rPr>
        <w:t>.</w:t>
      </w:r>
      <w:r w:rsidR="00627FB0" w:rsidRPr="00412F88">
        <w:rPr>
          <w:rFonts w:ascii="Calibri" w:hAnsi="Calibri" w:cs="Calibri"/>
          <w:sz w:val="23"/>
          <w:szCs w:val="23"/>
        </w:rPr>
        <w:t xml:space="preserve"> </w:t>
      </w:r>
    </w:p>
    <w:p w14:paraId="5BA957EA" w14:textId="08ACF333" w:rsidR="007378FA" w:rsidRPr="00412F88" w:rsidRDefault="00F54B70" w:rsidP="00C3075C">
      <w:pPr>
        <w:spacing w:line="480" w:lineRule="auto"/>
        <w:ind w:firstLine="720"/>
        <w:jc w:val="both"/>
        <w:rPr>
          <w:rFonts w:ascii="Calibri" w:hAnsi="Calibri" w:cs="Calibri"/>
          <w:sz w:val="23"/>
          <w:szCs w:val="23"/>
        </w:rPr>
      </w:pPr>
      <w:r w:rsidRPr="00412F88">
        <w:rPr>
          <w:rFonts w:ascii="Calibri" w:hAnsi="Calibri" w:cs="Calibri"/>
          <w:sz w:val="23"/>
          <w:szCs w:val="23"/>
        </w:rPr>
        <w:t>T</w:t>
      </w:r>
      <w:r w:rsidR="00DD0F56" w:rsidRPr="00412F88">
        <w:rPr>
          <w:rFonts w:ascii="Calibri" w:hAnsi="Calibri" w:cs="Calibri"/>
          <w:sz w:val="23"/>
          <w:szCs w:val="23"/>
        </w:rPr>
        <w:t>hird</w:t>
      </w:r>
      <w:r w:rsidRPr="00412F88">
        <w:rPr>
          <w:rFonts w:ascii="Calibri" w:hAnsi="Calibri" w:cs="Calibri"/>
          <w:sz w:val="23"/>
          <w:szCs w:val="23"/>
        </w:rPr>
        <w:t xml:space="preserve">, </w:t>
      </w:r>
      <w:r w:rsidR="00176EC4" w:rsidRPr="00412F88">
        <w:rPr>
          <w:rFonts w:ascii="Calibri" w:hAnsi="Calibri" w:cs="Calibri"/>
          <w:sz w:val="23"/>
          <w:szCs w:val="23"/>
        </w:rPr>
        <w:t xml:space="preserve">the literature portrays </w:t>
      </w:r>
      <w:r w:rsidRPr="00412F88">
        <w:rPr>
          <w:rFonts w:ascii="Calibri" w:hAnsi="Calibri" w:cs="Calibri"/>
          <w:sz w:val="23"/>
          <w:szCs w:val="23"/>
        </w:rPr>
        <w:t xml:space="preserve">a </w:t>
      </w:r>
      <w:r w:rsidR="00491B8C" w:rsidRPr="00412F88">
        <w:rPr>
          <w:rFonts w:ascii="Calibri" w:hAnsi="Calibri" w:cs="Calibri"/>
          <w:sz w:val="23"/>
          <w:szCs w:val="23"/>
        </w:rPr>
        <w:t>cautious</w:t>
      </w:r>
      <w:r w:rsidR="00DB6A88" w:rsidRPr="00412F88">
        <w:rPr>
          <w:rFonts w:ascii="Calibri" w:hAnsi="Calibri" w:cs="Calibri"/>
          <w:sz w:val="23"/>
          <w:szCs w:val="23"/>
        </w:rPr>
        <w:t xml:space="preserve"> optimism </w:t>
      </w:r>
      <w:r w:rsidR="00176EC4" w:rsidRPr="00412F88">
        <w:rPr>
          <w:rFonts w:ascii="Calibri" w:hAnsi="Calibri" w:cs="Calibri"/>
          <w:sz w:val="23"/>
          <w:szCs w:val="23"/>
        </w:rPr>
        <w:t xml:space="preserve">about </w:t>
      </w:r>
      <w:r w:rsidR="00DB6A88" w:rsidRPr="00412F88">
        <w:rPr>
          <w:rFonts w:ascii="Calibri" w:hAnsi="Calibri" w:cs="Calibri"/>
          <w:sz w:val="23"/>
          <w:szCs w:val="23"/>
        </w:rPr>
        <w:t xml:space="preserve">the </w:t>
      </w:r>
      <w:r w:rsidR="00BC6058" w:rsidRPr="00412F88">
        <w:rPr>
          <w:rFonts w:ascii="Calibri" w:hAnsi="Calibri" w:cs="Calibri"/>
          <w:sz w:val="23"/>
          <w:szCs w:val="23"/>
        </w:rPr>
        <w:t xml:space="preserve">ability to stem inequality. </w:t>
      </w:r>
      <w:r w:rsidR="00491B8C" w:rsidRPr="00412F88">
        <w:rPr>
          <w:rFonts w:ascii="Calibri" w:hAnsi="Calibri" w:cs="Calibri"/>
          <w:sz w:val="23"/>
          <w:szCs w:val="23"/>
        </w:rPr>
        <w:t xml:space="preserve">Atkinson opens his book arguing </w:t>
      </w:r>
      <w:r w:rsidR="00BD29C6" w:rsidRPr="00412F88">
        <w:rPr>
          <w:rFonts w:ascii="Calibri" w:hAnsi="Calibri" w:cs="Calibri"/>
          <w:sz w:val="23"/>
          <w:szCs w:val="23"/>
        </w:rPr>
        <w:t xml:space="preserve">from a </w:t>
      </w:r>
      <w:r w:rsidR="00491B8C" w:rsidRPr="00412F88">
        <w:rPr>
          <w:rFonts w:ascii="Calibri" w:hAnsi="Calibri" w:cs="Calibri"/>
          <w:sz w:val="23"/>
          <w:szCs w:val="23"/>
        </w:rPr>
        <w:t xml:space="preserve">“spirit of optimism” that the future is very much in our hands. Just as the current situation is a result of social and political policies, so too are the solutions. </w:t>
      </w:r>
      <w:r w:rsidR="00176EC4" w:rsidRPr="00412F88">
        <w:rPr>
          <w:rFonts w:ascii="Calibri" w:hAnsi="Calibri" w:cs="Calibri"/>
          <w:sz w:val="23"/>
          <w:szCs w:val="23"/>
        </w:rPr>
        <w:t>I think that</w:t>
      </w:r>
      <w:r w:rsidR="00FD77D4" w:rsidRPr="00412F88">
        <w:rPr>
          <w:rFonts w:ascii="Calibri" w:hAnsi="Calibri" w:cs="Calibri"/>
          <w:sz w:val="23"/>
          <w:szCs w:val="23"/>
        </w:rPr>
        <w:t xml:space="preserve"> </w:t>
      </w:r>
      <w:proofErr w:type="spellStart"/>
      <w:r w:rsidR="00FD77D4" w:rsidRPr="00412F88">
        <w:rPr>
          <w:rFonts w:ascii="Calibri" w:hAnsi="Calibri" w:cs="Calibri"/>
          <w:sz w:val="23"/>
          <w:szCs w:val="23"/>
        </w:rPr>
        <w:t>Gornik</w:t>
      </w:r>
      <w:proofErr w:type="spellEnd"/>
      <w:r w:rsidR="00FD77D4" w:rsidRPr="00412F88">
        <w:rPr>
          <w:rFonts w:ascii="Calibri" w:hAnsi="Calibri" w:cs="Calibri"/>
          <w:sz w:val="23"/>
          <w:szCs w:val="23"/>
        </w:rPr>
        <w:t xml:space="preserve"> and </w:t>
      </w:r>
      <w:proofErr w:type="spellStart"/>
      <w:r w:rsidR="00FD77D4" w:rsidRPr="00412F88">
        <w:rPr>
          <w:rFonts w:ascii="Calibri" w:hAnsi="Calibri" w:cs="Calibri"/>
          <w:sz w:val="23"/>
          <w:szCs w:val="23"/>
        </w:rPr>
        <w:t>Smeeding</w:t>
      </w:r>
      <w:r w:rsidR="00176EC4" w:rsidRPr="00412F88">
        <w:rPr>
          <w:rFonts w:ascii="Calibri" w:hAnsi="Calibri" w:cs="Calibri"/>
          <w:sz w:val="23"/>
          <w:szCs w:val="23"/>
        </w:rPr>
        <w:t>’s</w:t>
      </w:r>
      <w:proofErr w:type="spellEnd"/>
      <w:r w:rsidR="00176EC4" w:rsidRPr="00412F88">
        <w:rPr>
          <w:rFonts w:ascii="Calibri" w:hAnsi="Calibri" w:cs="Calibri"/>
          <w:sz w:val="23"/>
          <w:szCs w:val="23"/>
        </w:rPr>
        <w:t xml:space="preserve"> </w:t>
      </w:r>
      <w:r w:rsidR="00176EC4" w:rsidRPr="00412F88">
        <w:rPr>
          <w:rFonts w:ascii="Calibri" w:hAnsi="Calibri" w:cs="Calibri"/>
          <w:sz w:val="23"/>
          <w:szCs w:val="23"/>
        </w:rPr>
        <w:fldChar w:fldCharType="begin" w:fldLock="1"/>
      </w:r>
      <w:r w:rsidR="00176EC4" w:rsidRPr="00412F88">
        <w:rPr>
          <w:rFonts w:ascii="Calibri" w:hAnsi="Calibri" w:cs="Calibri"/>
          <w:sz w:val="23"/>
          <w:szCs w:val="23"/>
        </w:rPr>
        <w:instrText>ADDIN CSL_CITATION {"citationItems":[{"id":"ITEM-1","itemData":{"DOI":"10.1146/annurev-soc-073117-041114","ISSN":"0360-0572","abstract":"We review research on institutions of redistribution operating in high-income countries. Focusing on the nonelderly, we invoke the concept of the household income package, which includes income from labor, from related households, and from the state. Accordingly, we assess three institutional arenas: predistribution (rules and regulations that govern paid work), private redistribution (interhousehold transfers), and conventional public redistribution (operating via cash transfers and direct taxes). In each arena, we assess underlying policy logics, identify current policy controversies, summarize contemporary cross-national policy variation, and synthesize existing findings on policy effects. Our assessment of redistributional effects focuses on three core socioeconomic outcomes: low pay, child poverty, and income inequality. We close by assessing how the three institutional arenas perform collectively and by calling for further work on how these institutions change over time and how they affect subgroups differentially. Expected final online publication date for the Annual Review of Sociology Volume 44 is July 30, 2018. Please see http://www.annualreviews.org/page/journal/pubdates for revised estimates.","author":[{"dropping-particle":"","family":"Gornick","given":"Janet C","non-dropping-particle":"","parse-names":false,"suffix":""},{"dropping-particle":"","family":"Smeeding","given":"Timothy M","non-dropping-particle":"","parse-names":false,"suffix":""}],"container-title":"Annual Review of Sociology","id":"ITEM-1","issued":{"date-parts":[["2018","5","25"]]},"note":"doi: 10.1146/annurev-soc-073117-041114","publisher":"Annual Reviews","title":"Redistributional Policy in Rich Countries: Institutions and Impacts in Nonelderly Households","type":"article-journal"},"suppress-author":1,"uris":["http://www.mendeley.com/documents/?uuid=9356b51e-1994-416e-a6f8-c8298579c2f1"]}],"mendeley":{"formattedCitation":"(2018)","plainTextFormattedCitation":"(2018)"},"properties":{"noteIndex":0},"schema":"https://github.com/citation-style-language/schema/raw/master/csl-citation.json"}</w:instrText>
      </w:r>
      <w:r w:rsidR="00176EC4" w:rsidRPr="00412F88">
        <w:rPr>
          <w:rFonts w:ascii="Calibri" w:hAnsi="Calibri" w:cs="Calibri"/>
          <w:sz w:val="23"/>
          <w:szCs w:val="23"/>
        </w:rPr>
        <w:fldChar w:fldCharType="separate"/>
      </w:r>
      <w:r w:rsidR="00176EC4" w:rsidRPr="00412F88">
        <w:rPr>
          <w:rFonts w:ascii="Calibri" w:hAnsi="Calibri" w:cs="Calibri"/>
          <w:noProof/>
          <w:sz w:val="23"/>
          <w:szCs w:val="23"/>
        </w:rPr>
        <w:t>(2018)</w:t>
      </w:r>
      <w:r w:rsidR="00176EC4" w:rsidRPr="00412F88">
        <w:rPr>
          <w:rFonts w:ascii="Calibri" w:hAnsi="Calibri" w:cs="Calibri"/>
          <w:sz w:val="23"/>
          <w:szCs w:val="23"/>
        </w:rPr>
        <w:fldChar w:fldCharType="end"/>
      </w:r>
      <w:r w:rsidR="00176EC4" w:rsidRPr="00412F88">
        <w:rPr>
          <w:rFonts w:ascii="Calibri" w:hAnsi="Calibri" w:cs="Calibri"/>
          <w:sz w:val="23"/>
          <w:szCs w:val="23"/>
        </w:rPr>
        <w:t xml:space="preserve"> work </w:t>
      </w:r>
      <w:r w:rsidR="00FD77D4" w:rsidRPr="00412F88">
        <w:rPr>
          <w:rFonts w:ascii="Calibri" w:hAnsi="Calibri" w:cs="Calibri"/>
          <w:sz w:val="23"/>
          <w:szCs w:val="23"/>
        </w:rPr>
        <w:t>emphasize</w:t>
      </w:r>
      <w:r w:rsidR="00176EC4" w:rsidRPr="00412F88">
        <w:rPr>
          <w:rFonts w:ascii="Calibri" w:hAnsi="Calibri" w:cs="Calibri"/>
          <w:sz w:val="23"/>
          <w:szCs w:val="23"/>
        </w:rPr>
        <w:t xml:space="preserve">d </w:t>
      </w:r>
      <w:r w:rsidR="00FD77D4" w:rsidRPr="00412F88">
        <w:rPr>
          <w:rFonts w:ascii="Calibri" w:hAnsi="Calibri" w:cs="Calibri"/>
          <w:sz w:val="23"/>
          <w:szCs w:val="23"/>
        </w:rPr>
        <w:t xml:space="preserve">how </w:t>
      </w:r>
      <w:r w:rsidR="00176EC4" w:rsidRPr="00412F88">
        <w:rPr>
          <w:rFonts w:ascii="Calibri" w:hAnsi="Calibri" w:cs="Calibri"/>
          <w:sz w:val="23"/>
          <w:szCs w:val="23"/>
        </w:rPr>
        <w:t xml:space="preserve">a combination of </w:t>
      </w:r>
      <w:r w:rsidR="001B6531" w:rsidRPr="00412F88">
        <w:rPr>
          <w:rFonts w:ascii="Calibri" w:hAnsi="Calibri" w:cs="Calibri"/>
          <w:sz w:val="23"/>
          <w:szCs w:val="23"/>
        </w:rPr>
        <w:t>both</w:t>
      </w:r>
      <w:r w:rsidR="00FD77D4" w:rsidRPr="00412F88">
        <w:rPr>
          <w:rFonts w:ascii="Calibri" w:hAnsi="Calibri" w:cs="Calibri"/>
          <w:sz w:val="23"/>
          <w:szCs w:val="23"/>
        </w:rPr>
        <w:t xml:space="preserve"> predistribution and redistribution policies </w:t>
      </w:r>
      <w:r w:rsidR="001B6531" w:rsidRPr="00412F88">
        <w:rPr>
          <w:rFonts w:ascii="Calibri" w:hAnsi="Calibri" w:cs="Calibri"/>
          <w:sz w:val="23"/>
          <w:szCs w:val="23"/>
        </w:rPr>
        <w:t>can help to</w:t>
      </w:r>
      <w:r w:rsidR="00FD77D4" w:rsidRPr="00412F88">
        <w:rPr>
          <w:rFonts w:ascii="Calibri" w:hAnsi="Calibri" w:cs="Calibri"/>
          <w:sz w:val="23"/>
          <w:szCs w:val="23"/>
        </w:rPr>
        <w:t xml:space="preserve"> reduce inequality</w:t>
      </w:r>
      <w:r w:rsidR="001B6531" w:rsidRPr="00412F88">
        <w:rPr>
          <w:rFonts w:ascii="Calibri" w:hAnsi="Calibri" w:cs="Calibri"/>
          <w:sz w:val="23"/>
          <w:szCs w:val="23"/>
        </w:rPr>
        <w:t xml:space="preserve"> and child poverty. While some </w:t>
      </w:r>
      <w:r w:rsidR="00176EC4" w:rsidRPr="00412F88">
        <w:rPr>
          <w:rFonts w:ascii="Calibri" w:hAnsi="Calibri" w:cs="Calibri"/>
          <w:sz w:val="23"/>
          <w:szCs w:val="23"/>
        </w:rPr>
        <w:t xml:space="preserve">policies have more potential </w:t>
      </w:r>
      <w:r w:rsidR="001B6531" w:rsidRPr="00412F88">
        <w:rPr>
          <w:rFonts w:ascii="Calibri" w:hAnsi="Calibri" w:cs="Calibri"/>
          <w:sz w:val="23"/>
          <w:szCs w:val="23"/>
        </w:rPr>
        <w:t xml:space="preserve">than others, </w:t>
      </w:r>
      <w:r w:rsidR="00C3075C" w:rsidRPr="00412F88">
        <w:rPr>
          <w:rFonts w:ascii="Calibri" w:hAnsi="Calibri" w:cs="Calibri"/>
          <w:sz w:val="23"/>
          <w:szCs w:val="23"/>
        </w:rPr>
        <w:t xml:space="preserve">we have multiple options—it’s about enacting them. </w:t>
      </w:r>
      <w:r w:rsidR="003E7851" w:rsidRPr="00412F88">
        <w:rPr>
          <w:rFonts w:ascii="Calibri" w:hAnsi="Calibri" w:cs="Calibri"/>
          <w:sz w:val="23"/>
          <w:szCs w:val="23"/>
        </w:rPr>
        <w:t xml:space="preserve">However, Miles </w:t>
      </w:r>
      <w:proofErr w:type="spellStart"/>
      <w:r w:rsidR="003E7851" w:rsidRPr="00412F88">
        <w:rPr>
          <w:rFonts w:ascii="Calibri" w:hAnsi="Calibri" w:cs="Calibri"/>
          <w:sz w:val="23"/>
          <w:szCs w:val="23"/>
        </w:rPr>
        <w:t>Corak</w:t>
      </w:r>
      <w:proofErr w:type="spellEnd"/>
      <w:r w:rsidR="00176EC4" w:rsidRPr="00412F88">
        <w:rPr>
          <w:rFonts w:ascii="Calibri" w:hAnsi="Calibri" w:cs="Calibri"/>
          <w:sz w:val="23"/>
          <w:szCs w:val="23"/>
        </w:rPr>
        <w:t xml:space="preserve"> </w:t>
      </w:r>
      <w:r w:rsidR="00176EC4" w:rsidRPr="00412F88">
        <w:rPr>
          <w:rFonts w:ascii="Calibri" w:hAnsi="Calibri" w:cs="Calibri"/>
          <w:sz w:val="23"/>
          <w:szCs w:val="23"/>
        </w:rPr>
        <w:fldChar w:fldCharType="begin" w:fldLock="1"/>
      </w:r>
      <w:r w:rsidR="00176EC4" w:rsidRPr="00412F88">
        <w:rPr>
          <w:rFonts w:ascii="Calibri" w:hAnsi="Calibri" w:cs="Calibri"/>
          <w:sz w:val="23"/>
          <w:szCs w:val="23"/>
        </w:rPr>
        <w:instrText>ADDIN CSL_CITATION {"citationItems":[{"id":"ITEM-1","itemData":{"DOI":"10.1257/jep.27.3.79","ISSN":"0895-3309","abstract":"My focus is on the degree to which increasing inequality in the high-income countries, particularly in the United States, is likely to limit economic mobility for the next generation of young adults. I discuss the underlying drivers of opportunity that generate the relationship between inequality and intergenerational mobility. The goal is to explain why America differs from other countries, how intergenerational mobility will change in an era of higher inequality, and how the process is different for the top 1 percent. I begin by presenting evidence that countries with more inequality at one point in time also experience less earnings mobility across the generations, a relationship that has been called The Great Gatsby Curve. The interaction between families, labor markets, and public policies all structure a child's opportunities and determine the extent to which adult earnings are related to family backgroundbut they do so in different ways across national contexts. Both cross-country comparisons and the underlying trends suggest that these drivers are all configured most likely to lower, or at least not raise, the degree of intergenerational earnings mobility for the next generation of Americans coming of age in a more polarized labor market. This trend will likely continue unless there are changes in public policy that promote the human capital of children in a way that offers relatively greater benefits to the relatively disadvantaged.","author":[{"dropping-particle":"","family":"Corak","given":"Miles","non-dropping-particle":"","parse-names":false,"suffix":""}],"container-title":"Journal of Economic Perspectives","id":"ITEM-1","issue":"3","issued":{"date-parts":[["2013"]]},"page":"79-102","title":"Income Inequality, Equality of Opportunity, and Intergenerational Mobility","type":"article-journal","volume":"27"},"suppress-author":1,"uris":["http://www.mendeley.com/documents/?uuid=e2b011e3-e50c-41d7-bb66-d0b5cbf470ad"]}],"mendeley":{"formattedCitation":"(2013)","plainTextFormattedCitation":"(2013)","previouslyFormattedCitation":"(2013)"},"properties":{"noteIndex":0},"schema":"https://github.com/citation-style-language/schema/raw/master/csl-citation.json"}</w:instrText>
      </w:r>
      <w:r w:rsidR="00176EC4" w:rsidRPr="00412F88">
        <w:rPr>
          <w:rFonts w:ascii="Calibri" w:hAnsi="Calibri" w:cs="Calibri"/>
          <w:sz w:val="23"/>
          <w:szCs w:val="23"/>
        </w:rPr>
        <w:fldChar w:fldCharType="separate"/>
      </w:r>
      <w:r w:rsidR="00176EC4" w:rsidRPr="00412F88">
        <w:rPr>
          <w:rFonts w:ascii="Calibri" w:hAnsi="Calibri" w:cs="Calibri"/>
          <w:noProof/>
          <w:sz w:val="23"/>
          <w:szCs w:val="23"/>
        </w:rPr>
        <w:t>(2013)</w:t>
      </w:r>
      <w:r w:rsidR="00176EC4" w:rsidRPr="00412F88">
        <w:rPr>
          <w:rFonts w:ascii="Calibri" w:hAnsi="Calibri" w:cs="Calibri"/>
          <w:sz w:val="23"/>
          <w:szCs w:val="23"/>
        </w:rPr>
        <w:fldChar w:fldCharType="end"/>
      </w:r>
      <w:r w:rsidR="003E7851" w:rsidRPr="00412F88">
        <w:rPr>
          <w:rFonts w:ascii="Calibri" w:hAnsi="Calibri" w:cs="Calibri"/>
          <w:sz w:val="23"/>
          <w:szCs w:val="23"/>
        </w:rPr>
        <w:t xml:space="preserve"> highlights the feedback loop of inequality of outcomes shaping inequality of opportunity, noting that the “American Dream” lives on for the top 20% of the income spectrum, who hope that </w:t>
      </w:r>
      <w:r w:rsidR="009435F2" w:rsidRPr="00412F88">
        <w:rPr>
          <w:rFonts w:ascii="Calibri" w:hAnsi="Calibri" w:cs="Calibri"/>
          <w:sz w:val="23"/>
          <w:szCs w:val="23"/>
        </w:rPr>
        <w:t>their</w:t>
      </w:r>
      <w:r w:rsidR="003E7851" w:rsidRPr="00412F88">
        <w:rPr>
          <w:rFonts w:ascii="Calibri" w:hAnsi="Calibri" w:cs="Calibri"/>
          <w:sz w:val="23"/>
          <w:szCs w:val="23"/>
        </w:rPr>
        <w:t xml:space="preserve"> oversized influence on public policy will continue to shap</w:t>
      </w:r>
      <w:r w:rsidR="00632DFF" w:rsidRPr="00412F88">
        <w:rPr>
          <w:rFonts w:ascii="Calibri" w:hAnsi="Calibri" w:cs="Calibri"/>
          <w:sz w:val="23"/>
          <w:szCs w:val="23"/>
        </w:rPr>
        <w:t xml:space="preserve">e </w:t>
      </w:r>
      <w:r w:rsidR="003E7851" w:rsidRPr="00412F88">
        <w:rPr>
          <w:rFonts w:ascii="Calibri" w:hAnsi="Calibri" w:cs="Calibri"/>
          <w:sz w:val="23"/>
          <w:szCs w:val="23"/>
        </w:rPr>
        <w:t>polic</w:t>
      </w:r>
      <w:r w:rsidR="00632DFF" w:rsidRPr="00412F88">
        <w:rPr>
          <w:rFonts w:ascii="Calibri" w:hAnsi="Calibri" w:cs="Calibri"/>
          <w:sz w:val="23"/>
          <w:szCs w:val="23"/>
        </w:rPr>
        <w:t>ies</w:t>
      </w:r>
      <w:r w:rsidR="00176EC4" w:rsidRPr="00412F88">
        <w:rPr>
          <w:rFonts w:ascii="Calibri" w:hAnsi="Calibri" w:cs="Calibri"/>
          <w:sz w:val="23"/>
          <w:szCs w:val="23"/>
        </w:rPr>
        <w:t>, that will</w:t>
      </w:r>
      <w:r w:rsidR="003E7851" w:rsidRPr="00412F88">
        <w:rPr>
          <w:rFonts w:ascii="Calibri" w:hAnsi="Calibri" w:cs="Calibri"/>
          <w:sz w:val="23"/>
          <w:szCs w:val="23"/>
        </w:rPr>
        <w:t xml:space="preserve"> enable them and their children to cross the threshold into the top 1%.  </w:t>
      </w:r>
    </w:p>
    <w:p w14:paraId="68F8AD13" w14:textId="61E5ABFE" w:rsidR="00F323A4" w:rsidRPr="00412F88" w:rsidRDefault="00F323A4" w:rsidP="00F323A4">
      <w:pPr>
        <w:spacing w:line="480" w:lineRule="auto"/>
        <w:jc w:val="both"/>
        <w:rPr>
          <w:rFonts w:ascii="Calibri" w:hAnsi="Calibri" w:cs="Calibri"/>
          <w:color w:val="C00000"/>
          <w:sz w:val="23"/>
          <w:szCs w:val="23"/>
        </w:rPr>
      </w:pPr>
      <w:r w:rsidRPr="00412F88">
        <w:rPr>
          <w:rFonts w:ascii="Calibri" w:hAnsi="Calibri" w:cs="Calibri"/>
          <w:b/>
          <w:sz w:val="23"/>
          <w:szCs w:val="23"/>
        </w:rPr>
        <w:t>Proposals and Solutions.</w:t>
      </w:r>
      <w:r w:rsidRPr="00412F88">
        <w:rPr>
          <w:rFonts w:ascii="Calibri" w:hAnsi="Calibri" w:cs="Calibri"/>
          <w:sz w:val="23"/>
          <w:szCs w:val="23"/>
        </w:rPr>
        <w:t xml:space="preserve"> In the literature there are two ways of thinking about solutions—predistribution and redistribution. </w:t>
      </w:r>
      <w:proofErr w:type="spellStart"/>
      <w:r w:rsidRPr="00412F88">
        <w:rPr>
          <w:rFonts w:ascii="Calibri" w:hAnsi="Calibri" w:cs="Calibri"/>
          <w:sz w:val="23"/>
          <w:szCs w:val="23"/>
        </w:rPr>
        <w:t>Gornick</w:t>
      </w:r>
      <w:proofErr w:type="spellEnd"/>
      <w:r w:rsidRPr="00412F88">
        <w:rPr>
          <w:rFonts w:ascii="Calibri" w:hAnsi="Calibri" w:cs="Calibri"/>
          <w:sz w:val="23"/>
          <w:szCs w:val="23"/>
        </w:rPr>
        <w:t xml:space="preserve"> and </w:t>
      </w:r>
      <w:proofErr w:type="spellStart"/>
      <w:r w:rsidRPr="00412F88">
        <w:rPr>
          <w:rFonts w:ascii="Calibri" w:hAnsi="Calibri" w:cs="Calibri"/>
          <w:sz w:val="23"/>
          <w:szCs w:val="23"/>
        </w:rPr>
        <w:t>Smeeding</w:t>
      </w:r>
      <w:proofErr w:type="spellEnd"/>
      <w:r w:rsidRPr="00412F88">
        <w:rPr>
          <w:rFonts w:ascii="Calibri" w:hAnsi="Calibri" w:cs="Calibri"/>
          <w:sz w:val="23"/>
          <w:szCs w:val="23"/>
        </w:rPr>
        <w:t xml:space="preserve"> </w:t>
      </w:r>
      <w:r w:rsidRPr="00412F88">
        <w:rPr>
          <w:rFonts w:ascii="Calibri" w:hAnsi="Calibri" w:cs="Calibri"/>
          <w:sz w:val="23"/>
          <w:szCs w:val="23"/>
        </w:rPr>
        <w:fldChar w:fldCharType="begin" w:fldLock="1"/>
      </w:r>
      <w:r w:rsidR="00F30A38" w:rsidRPr="00412F88">
        <w:rPr>
          <w:rFonts w:ascii="Calibri" w:hAnsi="Calibri" w:cs="Calibri"/>
          <w:sz w:val="23"/>
          <w:szCs w:val="23"/>
        </w:rPr>
        <w:instrText>ADDIN CSL_CITATION {"citationItems":[{"id":"ITEM-1","itemData":{"DOI":"10.1146/annurev-soc-073117-041114","ISSN":"0360-0572","abstract":"We review research on institutions of redistribution operating in high-income countries. Focusing on the nonelderly, we invoke the concept of the household income package, which includes income from labor, from related households, and from the state. Accordingly, we assess three institutional arenas: predistribution (rules and regulations that govern paid work), private redistribution (interhousehold transfers), and conventional public redistribution (operating via cash transfers and direct taxes). In each arena, we assess underlying policy logics, identify current policy controversies, summarize contemporary cross-national policy variation, and synthesize existing findings on policy effects. Our assessment of redistributional effects focuses on three core socioeconomic outcomes: low pay, child poverty, and income inequality. We close by assessing how the three institutional arenas perform collectively and by calling for further work on how these institutions change over time and how they affect subgroups differentially. Expected final online publication date for the Annual Review of Sociology Volume 44 is July 30, 2018. Please see http://www.annualreviews.org/page/journal/pubdates for revised estimates.","author":[{"dropping-particle":"","family":"Gornick","given":"Janet C","non-dropping-particle":"","parse-names":false,"suffix":""},{"dropping-particle":"","family":"Smeeding","given":"Timothy M","non-dropping-particle":"","parse-names":false,"suffix":""}],"container-title":"Annual Review of Sociology","id":"ITEM-1","issued":{"date-parts":[["2018","5","25"]]},"note":"doi: 10.1146/annurev-soc-073117-041114","publisher":"Annual Reviews","title":"Redistributional Policy in Rich Countries: Institutions and Impacts in Nonelderly Households","type":"article-journal"},"suppress-author":1,"uris":["http://www.mendeley.com/documents/?uuid=9356b51e-1994-416e-a6f8-c8298579c2f1"]}],"mendeley":{"formattedCitation":"(2018)","plainTextFormattedCitation":"(2018)","previouslyFormattedCitation":"(2018)"},"properties":{"noteIndex":0},"schema":"https://github.com/citation-style-language/schema/raw/master/csl-citation.json"}</w:instrText>
      </w:r>
      <w:r w:rsidRPr="00412F88">
        <w:rPr>
          <w:rFonts w:ascii="Calibri" w:hAnsi="Calibri" w:cs="Calibri"/>
          <w:sz w:val="23"/>
          <w:szCs w:val="23"/>
        </w:rPr>
        <w:fldChar w:fldCharType="separate"/>
      </w:r>
      <w:r w:rsidRPr="00412F88">
        <w:rPr>
          <w:rFonts w:ascii="Calibri" w:hAnsi="Calibri" w:cs="Calibri"/>
          <w:noProof/>
          <w:sz w:val="23"/>
          <w:szCs w:val="23"/>
        </w:rPr>
        <w:t>(2018)</w:t>
      </w:r>
      <w:r w:rsidRPr="00412F88">
        <w:rPr>
          <w:rFonts w:ascii="Calibri" w:hAnsi="Calibri" w:cs="Calibri"/>
          <w:sz w:val="23"/>
          <w:szCs w:val="23"/>
        </w:rPr>
        <w:fldChar w:fldCharType="end"/>
      </w:r>
      <w:r w:rsidRPr="00412F88">
        <w:rPr>
          <w:rFonts w:ascii="Calibri" w:hAnsi="Calibri" w:cs="Calibri"/>
          <w:sz w:val="23"/>
          <w:szCs w:val="23"/>
        </w:rPr>
        <w:t xml:space="preserve"> compare predistribution and redistribution efforts at mitigating inequality across countries. They find: (1) collective bargaining has a stronger effect than a minimum wage guarantee in pushing wages up, (2) </w:t>
      </w:r>
      <w:r w:rsidR="00446D96" w:rsidRPr="00412F88">
        <w:rPr>
          <w:rFonts w:ascii="Calibri" w:hAnsi="Calibri" w:cs="Calibri"/>
          <w:sz w:val="23"/>
          <w:szCs w:val="23"/>
        </w:rPr>
        <w:t xml:space="preserve">that about 14% of </w:t>
      </w:r>
      <w:r w:rsidRPr="00412F88">
        <w:rPr>
          <w:rFonts w:ascii="Calibri" w:hAnsi="Calibri" w:cs="Calibri"/>
          <w:sz w:val="23"/>
          <w:szCs w:val="23"/>
        </w:rPr>
        <w:t>households receiv</w:t>
      </w:r>
      <w:r w:rsidR="00446D96" w:rsidRPr="00412F88">
        <w:rPr>
          <w:rFonts w:ascii="Calibri" w:hAnsi="Calibri" w:cs="Calibri"/>
          <w:sz w:val="23"/>
          <w:szCs w:val="23"/>
        </w:rPr>
        <w:t xml:space="preserve">e </w:t>
      </w:r>
      <w:r w:rsidRPr="00412F88">
        <w:rPr>
          <w:rFonts w:ascii="Calibri" w:hAnsi="Calibri" w:cs="Calibri"/>
          <w:sz w:val="23"/>
          <w:szCs w:val="23"/>
        </w:rPr>
        <w:t>private transfers</w:t>
      </w:r>
      <w:r w:rsidR="00446D96" w:rsidRPr="00412F88">
        <w:rPr>
          <w:rFonts w:ascii="Calibri" w:hAnsi="Calibri" w:cs="Calibri"/>
          <w:sz w:val="23"/>
          <w:szCs w:val="23"/>
        </w:rPr>
        <w:t xml:space="preserve">, which </w:t>
      </w:r>
      <w:r w:rsidRPr="00412F88">
        <w:rPr>
          <w:rFonts w:ascii="Calibri" w:hAnsi="Calibri" w:cs="Calibri"/>
          <w:sz w:val="23"/>
          <w:szCs w:val="23"/>
        </w:rPr>
        <w:t>consist</w:t>
      </w:r>
      <w:r w:rsidR="00446D96" w:rsidRPr="00412F88">
        <w:rPr>
          <w:rFonts w:ascii="Calibri" w:hAnsi="Calibri" w:cs="Calibri"/>
          <w:sz w:val="23"/>
          <w:szCs w:val="23"/>
        </w:rPr>
        <w:t xml:space="preserve"> </w:t>
      </w:r>
      <w:r w:rsidRPr="00412F88">
        <w:rPr>
          <w:rFonts w:ascii="Calibri" w:hAnsi="Calibri" w:cs="Calibri"/>
          <w:sz w:val="23"/>
          <w:szCs w:val="23"/>
        </w:rPr>
        <w:t>of 17% of their total household income, and (3) that, with some exceptions, countries with larger welfare states (</w:t>
      </w:r>
      <w:proofErr w:type="spellStart"/>
      <w:r w:rsidRPr="00412F88">
        <w:rPr>
          <w:rFonts w:ascii="Calibri" w:hAnsi="Calibri" w:cs="Calibri"/>
          <w:sz w:val="23"/>
          <w:szCs w:val="23"/>
        </w:rPr>
        <w:t>redistributional</w:t>
      </w:r>
      <w:proofErr w:type="spellEnd"/>
      <w:r w:rsidRPr="00412F88">
        <w:rPr>
          <w:rFonts w:ascii="Calibri" w:hAnsi="Calibri" w:cs="Calibri"/>
          <w:sz w:val="23"/>
          <w:szCs w:val="23"/>
        </w:rPr>
        <w:t xml:space="preserve"> policies) do a better </w:t>
      </w:r>
      <w:r w:rsidRPr="00412F88">
        <w:rPr>
          <w:rFonts w:ascii="Calibri" w:hAnsi="Calibri" w:cs="Calibri"/>
          <w:sz w:val="23"/>
          <w:szCs w:val="23"/>
        </w:rPr>
        <w:lastRenderedPageBreak/>
        <w:t xml:space="preserve">job at reducing child poverty and inequality than those with smaller welfare states. </w:t>
      </w:r>
      <w:r w:rsidR="0079030B" w:rsidRPr="00412F88">
        <w:rPr>
          <w:rFonts w:ascii="Calibri" w:hAnsi="Calibri" w:cs="Calibri"/>
          <w:sz w:val="23"/>
          <w:szCs w:val="23"/>
        </w:rPr>
        <w:t>I think their</w:t>
      </w:r>
      <w:r w:rsidRPr="00412F88">
        <w:rPr>
          <w:rFonts w:ascii="Calibri" w:hAnsi="Calibri" w:cs="Calibri"/>
          <w:sz w:val="23"/>
          <w:szCs w:val="23"/>
        </w:rPr>
        <w:t xml:space="preserve"> findings suggest </w:t>
      </w:r>
      <w:r w:rsidRPr="00412F88">
        <w:rPr>
          <w:rFonts w:ascii="Calibri" w:hAnsi="Calibri" w:cs="Calibri"/>
          <w:color w:val="000000" w:themeColor="text1"/>
          <w:sz w:val="23"/>
          <w:szCs w:val="23"/>
        </w:rPr>
        <w:t xml:space="preserve">that a combination of both </w:t>
      </w:r>
      <w:r w:rsidR="0079030B" w:rsidRPr="00412F88">
        <w:rPr>
          <w:rFonts w:ascii="Calibri" w:hAnsi="Calibri" w:cs="Calibri"/>
          <w:sz w:val="23"/>
          <w:szCs w:val="23"/>
        </w:rPr>
        <w:t>predistribution and redistribution</w:t>
      </w:r>
      <w:r w:rsidR="0079030B" w:rsidRPr="00412F88">
        <w:rPr>
          <w:rFonts w:ascii="Calibri" w:hAnsi="Calibri" w:cs="Calibri"/>
          <w:color w:val="000000" w:themeColor="text1"/>
          <w:sz w:val="23"/>
          <w:szCs w:val="23"/>
        </w:rPr>
        <w:t xml:space="preserve"> </w:t>
      </w:r>
      <w:r w:rsidRPr="00412F88">
        <w:rPr>
          <w:rFonts w:ascii="Calibri" w:hAnsi="Calibri" w:cs="Calibri"/>
          <w:color w:val="000000" w:themeColor="text1"/>
          <w:sz w:val="23"/>
          <w:szCs w:val="23"/>
        </w:rPr>
        <w:t xml:space="preserve">policies—stronger unions and higher minimum wages and high progressive tax rates and large welfare states—offer </w:t>
      </w:r>
      <w:r w:rsidR="0079030B" w:rsidRPr="00412F88">
        <w:rPr>
          <w:rFonts w:ascii="Calibri" w:hAnsi="Calibri" w:cs="Calibri"/>
          <w:color w:val="000000" w:themeColor="text1"/>
          <w:sz w:val="23"/>
          <w:szCs w:val="23"/>
        </w:rPr>
        <w:t>a better chance at</w:t>
      </w:r>
      <w:r w:rsidRPr="00412F88">
        <w:rPr>
          <w:rFonts w:ascii="Calibri" w:hAnsi="Calibri" w:cs="Calibri"/>
          <w:color w:val="000000" w:themeColor="text1"/>
          <w:sz w:val="23"/>
          <w:szCs w:val="23"/>
        </w:rPr>
        <w:t xml:space="preserve"> reducing inequality</w:t>
      </w:r>
      <w:r w:rsidR="0079030B" w:rsidRPr="00412F88">
        <w:rPr>
          <w:rFonts w:ascii="Calibri" w:hAnsi="Calibri" w:cs="Calibri"/>
          <w:color w:val="000000" w:themeColor="text1"/>
          <w:sz w:val="23"/>
          <w:szCs w:val="23"/>
        </w:rPr>
        <w:t xml:space="preserve"> than just one or the other</w:t>
      </w:r>
      <w:r w:rsidRPr="00412F88">
        <w:rPr>
          <w:rFonts w:ascii="Calibri" w:hAnsi="Calibri" w:cs="Calibri"/>
          <w:color w:val="000000" w:themeColor="text1"/>
          <w:sz w:val="23"/>
          <w:szCs w:val="23"/>
        </w:rPr>
        <w:t>.</w:t>
      </w:r>
    </w:p>
    <w:p w14:paraId="2CD0FFF9" w14:textId="44B75BC6" w:rsidR="00F323A4" w:rsidRPr="00412F88" w:rsidRDefault="00F323A4" w:rsidP="00176EC4">
      <w:pPr>
        <w:spacing w:line="480" w:lineRule="auto"/>
        <w:ind w:firstLine="720"/>
        <w:jc w:val="both"/>
        <w:rPr>
          <w:rFonts w:ascii="Calibri" w:hAnsi="Calibri" w:cs="Calibri"/>
          <w:sz w:val="23"/>
          <w:szCs w:val="23"/>
        </w:rPr>
      </w:pPr>
      <w:r w:rsidRPr="00412F88">
        <w:rPr>
          <w:rFonts w:ascii="Calibri" w:hAnsi="Calibri" w:cs="Calibri"/>
          <w:sz w:val="23"/>
          <w:szCs w:val="23"/>
        </w:rPr>
        <w:t xml:space="preserve">Atkinson outlines several proposals in his book that include both predistribution and redistribution, but says he is more interested in predistribution policies. In my mind the larger uncertainty is whether or not there is a political will, than if these policies are feasible. Of all of his proposals, I favor a balance of predistribution and redistribution: </w:t>
      </w:r>
      <w:r w:rsidR="008A019F" w:rsidRPr="00412F88">
        <w:rPr>
          <w:rFonts w:ascii="Calibri" w:hAnsi="Calibri" w:cs="Calibri"/>
          <w:sz w:val="23"/>
          <w:szCs w:val="23"/>
        </w:rPr>
        <w:t xml:space="preserve">creating a stronger legal infrastructure </w:t>
      </w:r>
      <w:r w:rsidR="009D4959" w:rsidRPr="00412F88">
        <w:rPr>
          <w:rFonts w:ascii="Calibri" w:hAnsi="Calibri" w:cs="Calibri"/>
          <w:sz w:val="23"/>
          <w:szCs w:val="23"/>
        </w:rPr>
        <w:t xml:space="preserve">for </w:t>
      </w:r>
      <w:r w:rsidRPr="00412F88">
        <w:rPr>
          <w:rFonts w:ascii="Calibri" w:hAnsi="Calibri" w:cs="Calibri"/>
          <w:sz w:val="23"/>
          <w:szCs w:val="23"/>
        </w:rPr>
        <w:t xml:space="preserve">labor unions, a guaranteed public employment at minimum wage, setting the minimum wage to a living wage, a progressive tax rate of with 65% for top earners, </w:t>
      </w:r>
      <w:r w:rsidR="004837BB" w:rsidRPr="00412F88">
        <w:rPr>
          <w:rFonts w:ascii="Calibri" w:hAnsi="Calibri" w:cs="Calibri"/>
          <w:sz w:val="23"/>
          <w:szCs w:val="23"/>
        </w:rPr>
        <w:t xml:space="preserve">an personal </w:t>
      </w:r>
      <w:r w:rsidRPr="00412F88">
        <w:rPr>
          <w:rFonts w:ascii="Calibri" w:hAnsi="Calibri" w:cs="Calibri"/>
          <w:sz w:val="23"/>
          <w:szCs w:val="23"/>
        </w:rPr>
        <w:t xml:space="preserve">tax Earned Income Discount, and a renewal and expansion of social insurance. While I would like to go a lot further, I think this combination </w:t>
      </w:r>
      <w:r w:rsidR="00C62DA4" w:rsidRPr="00412F88">
        <w:rPr>
          <w:rFonts w:ascii="Calibri" w:hAnsi="Calibri" w:cs="Calibri"/>
          <w:sz w:val="23"/>
          <w:szCs w:val="23"/>
        </w:rPr>
        <w:t>balances predistribution and redistribution while perhaps being more</w:t>
      </w:r>
      <w:r w:rsidRPr="00412F88">
        <w:rPr>
          <w:rFonts w:ascii="Calibri" w:hAnsi="Calibri" w:cs="Calibri"/>
          <w:sz w:val="23"/>
          <w:szCs w:val="23"/>
        </w:rPr>
        <w:t xml:space="preserve"> politically feasible than some other</w:t>
      </w:r>
      <w:r w:rsidR="00C62DA4" w:rsidRPr="00412F88">
        <w:rPr>
          <w:rFonts w:ascii="Calibri" w:hAnsi="Calibri" w:cs="Calibri"/>
          <w:sz w:val="23"/>
          <w:szCs w:val="23"/>
        </w:rPr>
        <w:t xml:space="preserve"> proposals</w:t>
      </w:r>
      <w:r w:rsidRPr="00412F88">
        <w:rPr>
          <w:rFonts w:ascii="Calibri" w:hAnsi="Calibri" w:cs="Calibri"/>
          <w:sz w:val="23"/>
          <w:szCs w:val="23"/>
        </w:rPr>
        <w:t xml:space="preserve">. I </w:t>
      </w:r>
      <w:r w:rsidR="001E443C" w:rsidRPr="00412F88">
        <w:rPr>
          <w:rFonts w:ascii="Calibri" w:hAnsi="Calibri" w:cs="Calibri"/>
          <w:sz w:val="23"/>
          <w:szCs w:val="23"/>
        </w:rPr>
        <w:t>really like</w:t>
      </w:r>
      <w:r w:rsidRPr="00412F88">
        <w:rPr>
          <w:rFonts w:ascii="Calibri" w:hAnsi="Calibri" w:cs="Calibri"/>
          <w:sz w:val="23"/>
          <w:szCs w:val="23"/>
        </w:rPr>
        <w:t xml:space="preserve"> the idea of a participation (universal) income, a publicly-held sovereign wealth fund, and an annual wealth tax, but think those would be much harder to implement and would gain less support. </w:t>
      </w:r>
    </w:p>
    <w:p w14:paraId="34A040D1" w14:textId="77A6617E" w:rsidR="00D220A5" w:rsidRPr="00412F88" w:rsidRDefault="002B7107" w:rsidP="00E94DD2">
      <w:pPr>
        <w:spacing w:line="480" w:lineRule="auto"/>
        <w:jc w:val="both"/>
        <w:rPr>
          <w:rFonts w:ascii="Calibri" w:hAnsi="Calibri" w:cs="Calibri"/>
          <w:b/>
          <w:sz w:val="23"/>
          <w:szCs w:val="23"/>
        </w:rPr>
      </w:pPr>
      <w:r w:rsidRPr="00412F88">
        <w:rPr>
          <w:rFonts w:ascii="Calibri" w:hAnsi="Calibri" w:cs="Calibri"/>
          <w:b/>
          <w:sz w:val="23"/>
          <w:szCs w:val="23"/>
        </w:rPr>
        <w:t>Q</w:t>
      </w:r>
      <w:r w:rsidR="006117B1" w:rsidRPr="00412F88">
        <w:rPr>
          <w:rFonts w:ascii="Calibri" w:hAnsi="Calibri" w:cs="Calibri"/>
          <w:b/>
          <w:sz w:val="23"/>
          <w:szCs w:val="23"/>
        </w:rPr>
        <w:t>uestion</w:t>
      </w:r>
      <w:r w:rsidR="00D220A5" w:rsidRPr="00412F88">
        <w:rPr>
          <w:rFonts w:ascii="Calibri" w:hAnsi="Calibri" w:cs="Calibri"/>
          <w:b/>
          <w:sz w:val="23"/>
          <w:szCs w:val="23"/>
        </w:rPr>
        <w:t>s/</w:t>
      </w:r>
      <w:r w:rsidR="003A59AC" w:rsidRPr="00412F88">
        <w:rPr>
          <w:rFonts w:ascii="Calibri" w:hAnsi="Calibri" w:cs="Calibri"/>
          <w:b/>
          <w:sz w:val="23"/>
          <w:szCs w:val="23"/>
        </w:rPr>
        <w:t xml:space="preserve">Need for </w:t>
      </w:r>
      <w:r w:rsidR="00D220A5" w:rsidRPr="00412F88">
        <w:rPr>
          <w:rFonts w:ascii="Calibri" w:hAnsi="Calibri" w:cs="Calibri"/>
          <w:b/>
          <w:sz w:val="23"/>
          <w:szCs w:val="23"/>
        </w:rPr>
        <w:t>Clarity</w:t>
      </w:r>
    </w:p>
    <w:p w14:paraId="64EC968E" w14:textId="2175CFBF" w:rsidR="00E0173A" w:rsidRPr="00412F88" w:rsidRDefault="003A59AC" w:rsidP="005C763D">
      <w:pPr>
        <w:pStyle w:val="ListParagraph"/>
        <w:numPr>
          <w:ilvl w:val="0"/>
          <w:numId w:val="5"/>
        </w:numPr>
        <w:jc w:val="both"/>
        <w:rPr>
          <w:rFonts w:ascii="Calibri" w:hAnsi="Calibri" w:cs="Calibri"/>
          <w:sz w:val="23"/>
          <w:szCs w:val="23"/>
        </w:rPr>
      </w:pPr>
      <w:r w:rsidRPr="00412F88">
        <w:rPr>
          <w:rFonts w:ascii="Calibri" w:hAnsi="Calibri" w:cs="Calibri"/>
          <w:sz w:val="23"/>
          <w:szCs w:val="23"/>
        </w:rPr>
        <w:t xml:space="preserve">Hard to </w:t>
      </w:r>
      <w:r w:rsidR="0035685D" w:rsidRPr="00412F88">
        <w:rPr>
          <w:rFonts w:ascii="Calibri" w:hAnsi="Calibri" w:cs="Calibri"/>
          <w:sz w:val="23"/>
          <w:szCs w:val="23"/>
        </w:rPr>
        <w:t>imagine</w:t>
      </w:r>
      <w:r w:rsidRPr="00412F88">
        <w:rPr>
          <w:rFonts w:ascii="Calibri" w:hAnsi="Calibri" w:cs="Calibri"/>
          <w:sz w:val="23"/>
          <w:szCs w:val="23"/>
        </w:rPr>
        <w:t xml:space="preserve"> how </w:t>
      </w:r>
      <w:r w:rsidR="00FD48F2" w:rsidRPr="00412F88">
        <w:rPr>
          <w:rFonts w:ascii="Calibri" w:hAnsi="Calibri" w:cs="Calibri"/>
          <w:sz w:val="23"/>
          <w:szCs w:val="23"/>
        </w:rPr>
        <w:t xml:space="preserve">the shares of top earners is mostly wages and not capital. Isn’t a large share of CEO’s and </w:t>
      </w:r>
      <w:r w:rsidR="00E014F9" w:rsidRPr="00412F88">
        <w:rPr>
          <w:rFonts w:ascii="Calibri" w:hAnsi="Calibri" w:cs="Calibri"/>
          <w:sz w:val="23"/>
          <w:szCs w:val="23"/>
        </w:rPr>
        <w:t>executives’</w:t>
      </w:r>
      <w:r w:rsidR="00FD48F2" w:rsidRPr="00412F88">
        <w:rPr>
          <w:rFonts w:ascii="Calibri" w:hAnsi="Calibri" w:cs="Calibri"/>
          <w:sz w:val="23"/>
          <w:szCs w:val="23"/>
        </w:rPr>
        <w:t xml:space="preserve"> pay in stock options and real estate investments that would be counted as capital and not wages? </w:t>
      </w:r>
      <w:r w:rsidR="00E014F9" w:rsidRPr="00412F88">
        <w:rPr>
          <w:rFonts w:ascii="Calibri" w:hAnsi="Calibri" w:cs="Calibri"/>
          <w:sz w:val="23"/>
          <w:szCs w:val="23"/>
        </w:rPr>
        <w:t>There are more millionaires and billionaires than ever before, you’re telling me most of their income is from wages not capital?</w:t>
      </w:r>
    </w:p>
    <w:p w14:paraId="351511E7" w14:textId="78DC6497" w:rsidR="0035685D" w:rsidRPr="00412F88" w:rsidRDefault="0035685D" w:rsidP="0087438E">
      <w:pPr>
        <w:pStyle w:val="ListParagraph"/>
        <w:numPr>
          <w:ilvl w:val="0"/>
          <w:numId w:val="5"/>
        </w:numPr>
        <w:jc w:val="both"/>
        <w:rPr>
          <w:rFonts w:ascii="Calibri" w:hAnsi="Calibri" w:cs="Calibri"/>
          <w:sz w:val="23"/>
          <w:szCs w:val="23"/>
        </w:rPr>
      </w:pPr>
      <w:r w:rsidRPr="00412F88">
        <w:rPr>
          <w:rFonts w:ascii="Calibri" w:hAnsi="Calibri" w:cs="Calibri"/>
          <w:sz w:val="23"/>
          <w:szCs w:val="23"/>
        </w:rPr>
        <w:t xml:space="preserve">Are there enough CEOs and executives </w:t>
      </w:r>
      <w:r w:rsidR="001159D7" w:rsidRPr="00412F88">
        <w:rPr>
          <w:rFonts w:ascii="Calibri" w:hAnsi="Calibri" w:cs="Calibri"/>
          <w:sz w:val="23"/>
          <w:szCs w:val="23"/>
        </w:rPr>
        <w:t>with salaries large enough to</w:t>
      </w:r>
      <w:r w:rsidRPr="00412F88">
        <w:rPr>
          <w:rFonts w:ascii="Calibri" w:hAnsi="Calibri" w:cs="Calibri"/>
          <w:sz w:val="23"/>
          <w:szCs w:val="23"/>
        </w:rPr>
        <w:t xml:space="preserve"> account for </w:t>
      </w:r>
      <w:r w:rsidR="00FD48F2" w:rsidRPr="00412F88">
        <w:rPr>
          <w:rFonts w:ascii="Calibri" w:hAnsi="Calibri" w:cs="Calibri"/>
          <w:sz w:val="23"/>
          <w:szCs w:val="23"/>
        </w:rPr>
        <w:t>large shift away from capital and towards wages? Also, how</w:t>
      </w:r>
      <w:r w:rsidR="001159D7" w:rsidRPr="00412F88">
        <w:rPr>
          <w:rFonts w:ascii="Calibri" w:hAnsi="Calibri" w:cs="Calibri"/>
          <w:sz w:val="23"/>
          <w:szCs w:val="23"/>
        </w:rPr>
        <w:t xml:space="preserve"> has the financial crash of the 2008 and the Occupy Wall Street movement changed these norms, if at all?</w:t>
      </w:r>
    </w:p>
    <w:p w14:paraId="37FB9296" w14:textId="77777777" w:rsidR="00E014F9" w:rsidRPr="00412F88" w:rsidRDefault="00E014F9" w:rsidP="00E014F9">
      <w:pPr>
        <w:pStyle w:val="ListParagraph"/>
        <w:numPr>
          <w:ilvl w:val="0"/>
          <w:numId w:val="5"/>
        </w:numPr>
        <w:jc w:val="both"/>
        <w:rPr>
          <w:rFonts w:ascii="Calibri" w:hAnsi="Calibri" w:cs="Calibri"/>
          <w:sz w:val="23"/>
          <w:szCs w:val="23"/>
        </w:rPr>
      </w:pPr>
      <w:r w:rsidRPr="00412F88">
        <w:rPr>
          <w:rFonts w:ascii="Calibri" w:hAnsi="Calibri" w:cs="Calibri"/>
          <w:sz w:val="23"/>
          <w:szCs w:val="23"/>
        </w:rPr>
        <w:t xml:space="preserve">I’m missing the connection between the mechanisms that increase and decrease wealth in Piketty and </w:t>
      </w:r>
      <w:proofErr w:type="spellStart"/>
      <w:r w:rsidRPr="00412F88">
        <w:rPr>
          <w:rFonts w:ascii="Calibri" w:hAnsi="Calibri" w:cs="Calibri"/>
          <w:sz w:val="23"/>
          <w:szCs w:val="23"/>
        </w:rPr>
        <w:t>Saez’s</w:t>
      </w:r>
      <w:proofErr w:type="spellEnd"/>
      <w:r w:rsidRPr="00412F88">
        <w:rPr>
          <w:rFonts w:ascii="Calibri" w:hAnsi="Calibri" w:cs="Calibri"/>
          <w:sz w:val="23"/>
          <w:szCs w:val="23"/>
        </w:rPr>
        <w:t xml:space="preserve"> discussion of the ratio of rate of return to rate of growth. </w:t>
      </w:r>
    </w:p>
    <w:p w14:paraId="3E5FA403" w14:textId="77777777" w:rsidR="00E014F9" w:rsidRPr="00412F88" w:rsidRDefault="00E014F9" w:rsidP="00450EB1">
      <w:pPr>
        <w:pStyle w:val="ListParagraph"/>
        <w:ind w:left="775"/>
        <w:jc w:val="both"/>
        <w:rPr>
          <w:rFonts w:ascii="Calibri" w:hAnsi="Calibri" w:cs="Calibri"/>
          <w:sz w:val="23"/>
          <w:szCs w:val="23"/>
        </w:rPr>
      </w:pPr>
    </w:p>
    <w:p w14:paraId="6BEE79D3" w14:textId="77777777" w:rsidR="00E014F9" w:rsidRPr="00412F88" w:rsidRDefault="00E014F9" w:rsidP="00E014F9">
      <w:pPr>
        <w:jc w:val="both"/>
        <w:rPr>
          <w:rFonts w:ascii="Calibri" w:hAnsi="Calibri" w:cs="Calibri"/>
          <w:sz w:val="23"/>
          <w:szCs w:val="23"/>
        </w:rPr>
      </w:pPr>
    </w:p>
    <w:p w14:paraId="64099F5F" w14:textId="2BAB665B" w:rsidR="00C37D1B" w:rsidRPr="00412F88" w:rsidRDefault="00C37D1B" w:rsidP="00C37D1B">
      <w:pPr>
        <w:spacing w:line="480" w:lineRule="auto"/>
        <w:jc w:val="both"/>
        <w:rPr>
          <w:rFonts w:ascii="Calibri" w:hAnsi="Calibri" w:cs="Calibri"/>
          <w:sz w:val="23"/>
          <w:szCs w:val="23"/>
        </w:rPr>
      </w:pPr>
      <w:bookmarkStart w:id="0" w:name="_GoBack"/>
      <w:bookmarkEnd w:id="0"/>
    </w:p>
    <w:sectPr w:rsidR="00C37D1B" w:rsidRPr="00412F88" w:rsidSect="007E0AD1">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99C41" w14:textId="77777777" w:rsidR="004B5230" w:rsidRDefault="004B5230" w:rsidP="00D45008">
      <w:r>
        <w:separator/>
      </w:r>
    </w:p>
  </w:endnote>
  <w:endnote w:type="continuationSeparator" w:id="0">
    <w:p w14:paraId="704D7B4A" w14:textId="77777777" w:rsidR="004B5230" w:rsidRDefault="004B5230"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E5287B" w:rsidRDefault="00E5287B" w:rsidP="00E528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E5287B" w:rsidRDefault="00E5287B"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2001152E" w:rsidR="00E5287B" w:rsidRPr="00F323A4" w:rsidRDefault="00E94DD2" w:rsidP="00E5287B">
    <w:pPr>
      <w:pStyle w:val="Footer"/>
      <w:framePr w:wrap="none" w:vAnchor="text" w:hAnchor="margin" w:xAlign="right" w:y="1"/>
      <w:rPr>
        <w:rStyle w:val="PageNumber"/>
        <w:rFonts w:ascii="Calibri" w:hAnsi="Calibri" w:cs="Calibri"/>
      </w:rPr>
    </w:pPr>
    <w:r w:rsidRPr="00F323A4">
      <w:rPr>
        <w:rStyle w:val="PageNumber"/>
        <w:rFonts w:ascii="Calibri" w:hAnsi="Calibri" w:cs="Calibri"/>
      </w:rPr>
      <w:t>Patterns, Trends, and Definitions</w:t>
    </w:r>
    <w:r w:rsidR="00E5287B" w:rsidRPr="00F323A4">
      <w:rPr>
        <w:rStyle w:val="PageNumber"/>
        <w:rFonts w:ascii="Calibri" w:hAnsi="Calibri" w:cs="Calibri"/>
      </w:rPr>
      <w:t>|</w:t>
    </w:r>
    <w:r w:rsidR="00F2388E" w:rsidRPr="00F323A4">
      <w:rPr>
        <w:rStyle w:val="PageNumber"/>
        <w:rFonts w:ascii="Calibri" w:hAnsi="Calibri" w:cs="Calibri"/>
      </w:rPr>
      <w:t xml:space="preserve"> </w:t>
    </w:r>
    <w:r w:rsidR="00E5287B" w:rsidRPr="00F323A4">
      <w:rPr>
        <w:rStyle w:val="PageNumber"/>
        <w:rFonts w:ascii="Calibri" w:hAnsi="Calibri" w:cs="Calibri"/>
      </w:rPr>
      <w:fldChar w:fldCharType="begin"/>
    </w:r>
    <w:r w:rsidR="00E5287B" w:rsidRPr="00F323A4">
      <w:rPr>
        <w:rStyle w:val="PageNumber"/>
        <w:rFonts w:ascii="Calibri" w:hAnsi="Calibri" w:cs="Calibri"/>
      </w:rPr>
      <w:instrText xml:space="preserve">PAGE  </w:instrText>
    </w:r>
    <w:r w:rsidR="00E5287B" w:rsidRPr="00F323A4">
      <w:rPr>
        <w:rStyle w:val="PageNumber"/>
        <w:rFonts w:ascii="Calibri" w:hAnsi="Calibri" w:cs="Calibri"/>
      </w:rPr>
      <w:fldChar w:fldCharType="separate"/>
    </w:r>
    <w:r w:rsidR="0081788B" w:rsidRPr="00F323A4">
      <w:rPr>
        <w:rStyle w:val="PageNumber"/>
        <w:rFonts w:ascii="Calibri" w:hAnsi="Calibri" w:cs="Calibri"/>
        <w:noProof/>
      </w:rPr>
      <w:t>2</w:t>
    </w:r>
    <w:r w:rsidR="00E5287B" w:rsidRPr="00F323A4">
      <w:rPr>
        <w:rStyle w:val="PageNumber"/>
        <w:rFonts w:ascii="Calibri" w:hAnsi="Calibri" w:cs="Calibri"/>
      </w:rPr>
      <w:fldChar w:fldCharType="end"/>
    </w:r>
  </w:p>
  <w:p w14:paraId="5D28464A" w14:textId="77777777" w:rsidR="00E5287B" w:rsidRPr="00F323A4" w:rsidRDefault="00E5287B" w:rsidP="00D45008">
    <w:pPr>
      <w:pStyle w:val="Footer"/>
      <w:ind w:right="360"/>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rPr>
      <w:id w:val="-669947144"/>
      <w:docPartObj>
        <w:docPartGallery w:val="Page Numbers (Bottom of Page)"/>
        <w:docPartUnique/>
      </w:docPartObj>
    </w:sdtPr>
    <w:sdtEndPr>
      <w:rPr>
        <w:rStyle w:val="PageNumber"/>
      </w:rPr>
    </w:sdtEndPr>
    <w:sdtContent>
      <w:p w14:paraId="123575E9" w14:textId="1E8D444F" w:rsidR="00E94DD2" w:rsidRPr="00945B50" w:rsidRDefault="00E94DD2" w:rsidP="00AC5D9C">
        <w:pPr>
          <w:pStyle w:val="Footer"/>
          <w:framePr w:wrap="none" w:vAnchor="text" w:hAnchor="margin" w:xAlign="right" w:y="1"/>
          <w:rPr>
            <w:rStyle w:val="PageNumber"/>
            <w:rFonts w:ascii="Calibri" w:hAnsi="Calibri" w:cs="Calibri"/>
          </w:rPr>
        </w:pPr>
        <w:r w:rsidRPr="00945B50">
          <w:rPr>
            <w:rStyle w:val="PageNumber"/>
            <w:rFonts w:ascii="Calibri" w:hAnsi="Calibri" w:cs="Calibri"/>
          </w:rPr>
          <w:t>Pattern, Trends, and Definitions|</w:t>
        </w:r>
        <w:r w:rsidR="00945B50">
          <w:rPr>
            <w:rStyle w:val="PageNumber"/>
            <w:rFonts w:ascii="Calibri" w:hAnsi="Calibri" w:cs="Calibri"/>
          </w:rPr>
          <w:t xml:space="preserve"> </w:t>
        </w:r>
        <w:r w:rsidRPr="00945B50">
          <w:rPr>
            <w:rStyle w:val="PageNumber"/>
            <w:rFonts w:ascii="Calibri" w:hAnsi="Calibri" w:cs="Calibri"/>
          </w:rPr>
          <w:fldChar w:fldCharType="begin"/>
        </w:r>
        <w:r w:rsidRPr="00945B50">
          <w:rPr>
            <w:rStyle w:val="PageNumber"/>
            <w:rFonts w:ascii="Calibri" w:hAnsi="Calibri" w:cs="Calibri"/>
          </w:rPr>
          <w:instrText xml:space="preserve"> PAGE </w:instrText>
        </w:r>
        <w:r w:rsidRPr="00945B50">
          <w:rPr>
            <w:rStyle w:val="PageNumber"/>
            <w:rFonts w:ascii="Calibri" w:hAnsi="Calibri" w:cs="Calibri"/>
          </w:rPr>
          <w:fldChar w:fldCharType="separate"/>
        </w:r>
        <w:r w:rsidRPr="00945B50">
          <w:rPr>
            <w:rStyle w:val="PageNumber"/>
            <w:rFonts w:ascii="Calibri" w:hAnsi="Calibri" w:cs="Calibri"/>
            <w:noProof/>
          </w:rPr>
          <w:t>1</w:t>
        </w:r>
        <w:r w:rsidRPr="00945B50">
          <w:rPr>
            <w:rStyle w:val="PageNumber"/>
            <w:rFonts w:ascii="Calibri" w:hAnsi="Calibri" w:cs="Calibri"/>
          </w:rPr>
          <w:fldChar w:fldCharType="end"/>
        </w:r>
      </w:p>
    </w:sdtContent>
  </w:sdt>
  <w:p w14:paraId="7DE7C63A" w14:textId="77777777" w:rsidR="00E94DD2" w:rsidRPr="00945B50" w:rsidRDefault="00E94DD2" w:rsidP="00E94DD2">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EB295" w14:textId="77777777" w:rsidR="004B5230" w:rsidRDefault="004B5230" w:rsidP="00D45008">
      <w:r>
        <w:separator/>
      </w:r>
    </w:p>
  </w:footnote>
  <w:footnote w:type="continuationSeparator" w:id="0">
    <w:p w14:paraId="5D8CA6DB" w14:textId="77777777" w:rsidR="004B5230" w:rsidRDefault="004B5230" w:rsidP="00D4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E5287B" w:rsidRPr="00F323A4" w:rsidRDefault="00E5287B" w:rsidP="007E0AD1">
    <w:pPr>
      <w:pStyle w:val="Header"/>
      <w:jc w:val="right"/>
      <w:rPr>
        <w:rFonts w:ascii="Calibri" w:hAnsi="Calibri" w:cs="Calibri"/>
      </w:rPr>
    </w:pPr>
    <w:r w:rsidRPr="00F323A4">
      <w:rPr>
        <w:rFonts w:ascii="Calibri" w:hAnsi="Calibri" w:cs="Calibri"/>
      </w:rPr>
      <w:t>Kasey Zapatka</w:t>
    </w:r>
  </w:p>
  <w:p w14:paraId="4CBA8A0F" w14:textId="022A3804" w:rsidR="00E5287B" w:rsidRPr="00F323A4" w:rsidRDefault="006117B1" w:rsidP="007E0AD1">
    <w:pPr>
      <w:pStyle w:val="Header"/>
      <w:jc w:val="right"/>
      <w:rPr>
        <w:rFonts w:ascii="Calibri" w:hAnsi="Calibri" w:cs="Calibri"/>
      </w:rPr>
    </w:pPr>
    <w:r w:rsidRPr="00F323A4">
      <w:rPr>
        <w:rFonts w:ascii="Calibri" w:hAnsi="Calibri" w:cs="Calibri"/>
      </w:rPr>
      <w:t>Inequality</w:t>
    </w:r>
    <w:r w:rsidR="00E5287B" w:rsidRPr="00F323A4">
      <w:rPr>
        <w:rFonts w:ascii="Calibri" w:hAnsi="Calibri" w:cs="Calibri"/>
      </w:rPr>
      <w:t xml:space="preserve"> Orals</w:t>
    </w:r>
  </w:p>
  <w:p w14:paraId="1A2B471F" w14:textId="1B1F58C0" w:rsidR="00E5287B" w:rsidRPr="00F323A4" w:rsidRDefault="00E5287B" w:rsidP="007E0AD1">
    <w:pPr>
      <w:pStyle w:val="Header"/>
      <w:jc w:val="right"/>
      <w:rPr>
        <w:rFonts w:ascii="Calibri" w:hAnsi="Calibri" w:cs="Calibri"/>
      </w:rPr>
    </w:pPr>
    <w:r w:rsidRPr="00F323A4">
      <w:rPr>
        <w:rFonts w:ascii="Calibri" w:hAnsi="Calibri" w:cs="Calibri"/>
        <w:b/>
      </w:rPr>
      <w:t>Section</w:t>
    </w:r>
    <w:r w:rsidRPr="00F323A4">
      <w:rPr>
        <w:rFonts w:ascii="Calibri" w:hAnsi="Calibri" w:cs="Calibri"/>
      </w:rPr>
      <w:t xml:space="preserve">: </w:t>
    </w:r>
    <w:r w:rsidR="006117B1" w:rsidRPr="00F323A4">
      <w:rPr>
        <w:rFonts w:ascii="Calibri" w:hAnsi="Calibri" w:cs="Calibri"/>
      </w:rPr>
      <w:t>Patterns, Trends and Definitions</w:t>
    </w:r>
  </w:p>
  <w:p w14:paraId="197A195E" w14:textId="77777777" w:rsidR="00E5287B" w:rsidRPr="00F323A4" w:rsidRDefault="00E5287B" w:rsidP="007E0AD1">
    <w:pPr>
      <w:pStyle w:val="Header"/>
      <w:jc w:val="right"/>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E5287B" w:rsidRPr="00F21B76" w:rsidRDefault="00E5287B" w:rsidP="007E0AD1">
    <w:pPr>
      <w:pStyle w:val="Header"/>
      <w:jc w:val="right"/>
      <w:rPr>
        <w:rFonts w:ascii="Calibri" w:hAnsi="Calibri" w:cs="Calibri"/>
      </w:rPr>
    </w:pPr>
    <w:r w:rsidRPr="00F21B76">
      <w:rPr>
        <w:rFonts w:ascii="Calibri" w:hAnsi="Calibri" w:cs="Calibri"/>
      </w:rPr>
      <w:tab/>
      <w:t>Kasey Zapatka</w:t>
    </w:r>
  </w:p>
  <w:p w14:paraId="58C3C583" w14:textId="27B9A817" w:rsidR="00E5287B" w:rsidRPr="00F21B76" w:rsidRDefault="00920E46" w:rsidP="007E0AD1">
    <w:pPr>
      <w:pStyle w:val="Header"/>
      <w:jc w:val="right"/>
      <w:rPr>
        <w:rFonts w:ascii="Calibri" w:hAnsi="Calibri" w:cs="Calibri"/>
      </w:rPr>
    </w:pPr>
    <w:r w:rsidRPr="00F21B76">
      <w:rPr>
        <w:rFonts w:ascii="Calibri" w:hAnsi="Calibri" w:cs="Calibri"/>
      </w:rPr>
      <w:t>Inequality</w:t>
    </w:r>
    <w:r w:rsidR="00E5287B" w:rsidRPr="00F21B76">
      <w:rPr>
        <w:rFonts w:ascii="Calibri" w:hAnsi="Calibri" w:cs="Calibri"/>
      </w:rPr>
      <w:t xml:space="preserve"> Orals</w:t>
    </w:r>
  </w:p>
  <w:p w14:paraId="7E1340F7" w14:textId="706EC960" w:rsidR="00E5287B" w:rsidRPr="00F21B76" w:rsidRDefault="00E5287B" w:rsidP="00920E46">
    <w:pPr>
      <w:pStyle w:val="Header"/>
      <w:jc w:val="right"/>
      <w:rPr>
        <w:rFonts w:ascii="Calibri" w:hAnsi="Calibri" w:cs="Calibri"/>
      </w:rPr>
    </w:pPr>
    <w:r w:rsidRPr="00F21B76">
      <w:rPr>
        <w:rFonts w:ascii="Calibri" w:hAnsi="Calibri" w:cs="Calibri"/>
        <w:b/>
      </w:rPr>
      <w:t>Section</w:t>
    </w:r>
    <w:r w:rsidRPr="00F21B76">
      <w:rPr>
        <w:rFonts w:ascii="Calibri" w:hAnsi="Calibri" w:cs="Calibri"/>
      </w:rPr>
      <w:t xml:space="preserve">: </w:t>
    </w:r>
    <w:r w:rsidR="006B0D0E" w:rsidRPr="00F21B76">
      <w:rPr>
        <w:rFonts w:ascii="Calibri" w:hAnsi="Calibri" w:cs="Calibri"/>
      </w:rPr>
      <w:t>Patterns, Trends and Definitions</w:t>
    </w:r>
    <w:r w:rsidRPr="00F21B76">
      <w:rPr>
        <w:rFonts w:ascii="Calibri" w:hAnsi="Calibri" w:cs="Calibri"/>
      </w:rPr>
      <w:t xml:space="preserve">  </w:t>
    </w:r>
  </w:p>
  <w:p w14:paraId="43B03BEA" w14:textId="09A65C6E" w:rsidR="00E5287B" w:rsidRPr="00F21B76" w:rsidRDefault="006B0D0E" w:rsidP="007E0AD1">
    <w:pPr>
      <w:pStyle w:val="Header"/>
      <w:jc w:val="right"/>
      <w:rPr>
        <w:rFonts w:ascii="Calibri" w:hAnsi="Calibri" w:cs="Calibri"/>
      </w:rPr>
    </w:pPr>
    <w:r w:rsidRPr="00F21B76">
      <w:rPr>
        <w:rFonts w:ascii="Calibri" w:hAnsi="Calibri" w:cs="Calibri"/>
      </w:rPr>
      <w:t>March</w:t>
    </w:r>
    <w:r w:rsidR="00E5287B" w:rsidRPr="00F21B76">
      <w:rPr>
        <w:rFonts w:ascii="Calibri" w:hAnsi="Calibri" w:cs="Calibri"/>
      </w:rPr>
      <w:t xml:space="preserve"> </w:t>
    </w:r>
    <w:r w:rsidRPr="00F21B76">
      <w:rPr>
        <w:rFonts w:ascii="Calibri" w:hAnsi="Calibri" w:cs="Calibri"/>
      </w:rPr>
      <w:t>4</w:t>
    </w:r>
    <w:r w:rsidR="00E5287B" w:rsidRPr="00F21B76">
      <w:rPr>
        <w:rFonts w:ascii="Calibri" w:hAnsi="Calibri" w:cs="Calibri"/>
      </w:rPr>
      <w:t>, 201</w:t>
    </w:r>
    <w:r w:rsidRPr="00F21B76">
      <w:rPr>
        <w:rFonts w:ascii="Calibri" w:hAnsi="Calibri" w:cs="Calibri"/>
      </w:rPr>
      <w:t>9</w:t>
    </w:r>
  </w:p>
  <w:p w14:paraId="7B4BCD4F" w14:textId="072AB594" w:rsidR="00E5287B" w:rsidRPr="00F21B76" w:rsidRDefault="00E5287B" w:rsidP="007E0AD1">
    <w:pPr>
      <w:pStyle w:val="Header"/>
      <w:tabs>
        <w:tab w:val="clear" w:pos="4680"/>
        <w:tab w:val="clear" w:pos="9360"/>
        <w:tab w:val="left" w:pos="5349"/>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E68B9"/>
    <w:multiLevelType w:val="multilevel"/>
    <w:tmpl w:val="A9A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D7F72"/>
    <w:multiLevelType w:val="multilevel"/>
    <w:tmpl w:val="075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23D09"/>
    <w:multiLevelType w:val="multilevel"/>
    <w:tmpl w:val="7B50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069BD"/>
    <w:multiLevelType w:val="hybridMultilevel"/>
    <w:tmpl w:val="A5D43DE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309E"/>
    <w:rsid w:val="000256E6"/>
    <w:rsid w:val="00063A8A"/>
    <w:rsid w:val="00063FB1"/>
    <w:rsid w:val="00066DD2"/>
    <w:rsid w:val="00070799"/>
    <w:rsid w:val="00071789"/>
    <w:rsid w:val="00076EA9"/>
    <w:rsid w:val="00090D32"/>
    <w:rsid w:val="000C5FF3"/>
    <w:rsid w:val="000C6C01"/>
    <w:rsid w:val="000E02D4"/>
    <w:rsid w:val="00104C54"/>
    <w:rsid w:val="001159D7"/>
    <w:rsid w:val="00122E33"/>
    <w:rsid w:val="00130342"/>
    <w:rsid w:val="00151B53"/>
    <w:rsid w:val="00167D91"/>
    <w:rsid w:val="00174AE0"/>
    <w:rsid w:val="00176EC4"/>
    <w:rsid w:val="00193D45"/>
    <w:rsid w:val="00195EBF"/>
    <w:rsid w:val="001B6531"/>
    <w:rsid w:val="001C7F04"/>
    <w:rsid w:val="001D3607"/>
    <w:rsid w:val="001D6192"/>
    <w:rsid w:val="001E0837"/>
    <w:rsid w:val="001E443C"/>
    <w:rsid w:val="001F5EF6"/>
    <w:rsid w:val="00200A29"/>
    <w:rsid w:val="002107C0"/>
    <w:rsid w:val="00213354"/>
    <w:rsid w:val="002153DB"/>
    <w:rsid w:val="00226868"/>
    <w:rsid w:val="00226B7D"/>
    <w:rsid w:val="00256546"/>
    <w:rsid w:val="00256A54"/>
    <w:rsid w:val="00261641"/>
    <w:rsid w:val="00261E1B"/>
    <w:rsid w:val="002660DC"/>
    <w:rsid w:val="00272D15"/>
    <w:rsid w:val="00282FB7"/>
    <w:rsid w:val="00294E62"/>
    <w:rsid w:val="002B2E58"/>
    <w:rsid w:val="002B7107"/>
    <w:rsid w:val="002C2B7A"/>
    <w:rsid w:val="002D28D0"/>
    <w:rsid w:val="002D57C8"/>
    <w:rsid w:val="002E0501"/>
    <w:rsid w:val="002E2A25"/>
    <w:rsid w:val="00324BAA"/>
    <w:rsid w:val="00326C08"/>
    <w:rsid w:val="00340C49"/>
    <w:rsid w:val="00342584"/>
    <w:rsid w:val="00350A21"/>
    <w:rsid w:val="0035685D"/>
    <w:rsid w:val="0036524F"/>
    <w:rsid w:val="003658BA"/>
    <w:rsid w:val="003802B7"/>
    <w:rsid w:val="003A0C13"/>
    <w:rsid w:val="003A59AC"/>
    <w:rsid w:val="003C6278"/>
    <w:rsid w:val="003D54B9"/>
    <w:rsid w:val="003D5E5C"/>
    <w:rsid w:val="003D63A8"/>
    <w:rsid w:val="003D65AE"/>
    <w:rsid w:val="003E466A"/>
    <w:rsid w:val="003E7851"/>
    <w:rsid w:val="003F4164"/>
    <w:rsid w:val="00402EFA"/>
    <w:rsid w:val="00406FC4"/>
    <w:rsid w:val="00407F5F"/>
    <w:rsid w:val="00412F88"/>
    <w:rsid w:val="004167DF"/>
    <w:rsid w:val="004373ED"/>
    <w:rsid w:val="00446D96"/>
    <w:rsid w:val="00450EB1"/>
    <w:rsid w:val="004559A4"/>
    <w:rsid w:val="00462EF7"/>
    <w:rsid w:val="00463872"/>
    <w:rsid w:val="00466B07"/>
    <w:rsid w:val="00467F20"/>
    <w:rsid w:val="0047045D"/>
    <w:rsid w:val="00475A6E"/>
    <w:rsid w:val="0048312F"/>
    <w:rsid w:val="004837BB"/>
    <w:rsid w:val="00485E65"/>
    <w:rsid w:val="00491B8C"/>
    <w:rsid w:val="004A1977"/>
    <w:rsid w:val="004A6C11"/>
    <w:rsid w:val="004B5230"/>
    <w:rsid w:val="004C1615"/>
    <w:rsid w:val="004C431D"/>
    <w:rsid w:val="004F7130"/>
    <w:rsid w:val="004F78B7"/>
    <w:rsid w:val="00502C82"/>
    <w:rsid w:val="005220D2"/>
    <w:rsid w:val="00526F4E"/>
    <w:rsid w:val="005338E0"/>
    <w:rsid w:val="00555E1D"/>
    <w:rsid w:val="00563015"/>
    <w:rsid w:val="00581124"/>
    <w:rsid w:val="0059008E"/>
    <w:rsid w:val="005A112E"/>
    <w:rsid w:val="005A38F7"/>
    <w:rsid w:val="005B57E8"/>
    <w:rsid w:val="005D713F"/>
    <w:rsid w:val="005F082C"/>
    <w:rsid w:val="005F4A51"/>
    <w:rsid w:val="006117B1"/>
    <w:rsid w:val="00627FB0"/>
    <w:rsid w:val="00632DFF"/>
    <w:rsid w:val="00644272"/>
    <w:rsid w:val="0064600A"/>
    <w:rsid w:val="00655651"/>
    <w:rsid w:val="00656369"/>
    <w:rsid w:val="00664A64"/>
    <w:rsid w:val="006801D4"/>
    <w:rsid w:val="006821AE"/>
    <w:rsid w:val="00683156"/>
    <w:rsid w:val="006837F0"/>
    <w:rsid w:val="00687E73"/>
    <w:rsid w:val="006944B9"/>
    <w:rsid w:val="00696D5D"/>
    <w:rsid w:val="006B0D0E"/>
    <w:rsid w:val="006B7FB7"/>
    <w:rsid w:val="006D50DC"/>
    <w:rsid w:val="006D630B"/>
    <w:rsid w:val="006F473B"/>
    <w:rsid w:val="006F69ED"/>
    <w:rsid w:val="00715825"/>
    <w:rsid w:val="00715D0A"/>
    <w:rsid w:val="007378FA"/>
    <w:rsid w:val="0074413B"/>
    <w:rsid w:val="007472CC"/>
    <w:rsid w:val="00760BB2"/>
    <w:rsid w:val="00775EC6"/>
    <w:rsid w:val="0079030B"/>
    <w:rsid w:val="00797076"/>
    <w:rsid w:val="007B5FA0"/>
    <w:rsid w:val="007D0AC1"/>
    <w:rsid w:val="007E0AD1"/>
    <w:rsid w:val="00814452"/>
    <w:rsid w:val="008152DF"/>
    <w:rsid w:val="0081788B"/>
    <w:rsid w:val="008248CC"/>
    <w:rsid w:val="008314E2"/>
    <w:rsid w:val="008373EA"/>
    <w:rsid w:val="00850476"/>
    <w:rsid w:val="00854783"/>
    <w:rsid w:val="008579DA"/>
    <w:rsid w:val="008623FA"/>
    <w:rsid w:val="0087438E"/>
    <w:rsid w:val="0087567C"/>
    <w:rsid w:val="00883A83"/>
    <w:rsid w:val="008A019F"/>
    <w:rsid w:val="008A5665"/>
    <w:rsid w:val="008B2195"/>
    <w:rsid w:val="008B6637"/>
    <w:rsid w:val="008C0AB8"/>
    <w:rsid w:val="008C2F7E"/>
    <w:rsid w:val="008E036B"/>
    <w:rsid w:val="008F63A1"/>
    <w:rsid w:val="009057B1"/>
    <w:rsid w:val="00911480"/>
    <w:rsid w:val="00913AB6"/>
    <w:rsid w:val="00920E46"/>
    <w:rsid w:val="00924140"/>
    <w:rsid w:val="009249E8"/>
    <w:rsid w:val="00930491"/>
    <w:rsid w:val="00931BC2"/>
    <w:rsid w:val="00931CD8"/>
    <w:rsid w:val="0093305D"/>
    <w:rsid w:val="0094159C"/>
    <w:rsid w:val="0094261B"/>
    <w:rsid w:val="009435F2"/>
    <w:rsid w:val="00945B50"/>
    <w:rsid w:val="00960FE4"/>
    <w:rsid w:val="00961F1E"/>
    <w:rsid w:val="0096746E"/>
    <w:rsid w:val="00986379"/>
    <w:rsid w:val="0099553F"/>
    <w:rsid w:val="009A21D6"/>
    <w:rsid w:val="009C149B"/>
    <w:rsid w:val="009C5872"/>
    <w:rsid w:val="009D4959"/>
    <w:rsid w:val="009E02E3"/>
    <w:rsid w:val="00A1441B"/>
    <w:rsid w:val="00A20E2D"/>
    <w:rsid w:val="00A26F11"/>
    <w:rsid w:val="00A3008E"/>
    <w:rsid w:val="00A37982"/>
    <w:rsid w:val="00A46ED8"/>
    <w:rsid w:val="00A51F5A"/>
    <w:rsid w:val="00A61144"/>
    <w:rsid w:val="00A74B7A"/>
    <w:rsid w:val="00AA08AF"/>
    <w:rsid w:val="00AA5C37"/>
    <w:rsid w:val="00AC26C5"/>
    <w:rsid w:val="00AC4547"/>
    <w:rsid w:val="00AE10ED"/>
    <w:rsid w:val="00AF0EB6"/>
    <w:rsid w:val="00AF7334"/>
    <w:rsid w:val="00B03BDA"/>
    <w:rsid w:val="00B20A7B"/>
    <w:rsid w:val="00B20B02"/>
    <w:rsid w:val="00B2139A"/>
    <w:rsid w:val="00B21919"/>
    <w:rsid w:val="00B62D98"/>
    <w:rsid w:val="00B75995"/>
    <w:rsid w:val="00B76ACF"/>
    <w:rsid w:val="00B948EE"/>
    <w:rsid w:val="00B96C43"/>
    <w:rsid w:val="00BA67AA"/>
    <w:rsid w:val="00BB6BD7"/>
    <w:rsid w:val="00BC4742"/>
    <w:rsid w:val="00BC6058"/>
    <w:rsid w:val="00BD29C6"/>
    <w:rsid w:val="00C047BB"/>
    <w:rsid w:val="00C110CB"/>
    <w:rsid w:val="00C11D76"/>
    <w:rsid w:val="00C12FC1"/>
    <w:rsid w:val="00C13392"/>
    <w:rsid w:val="00C1464B"/>
    <w:rsid w:val="00C25CAF"/>
    <w:rsid w:val="00C26963"/>
    <w:rsid w:val="00C3075C"/>
    <w:rsid w:val="00C37D1B"/>
    <w:rsid w:val="00C40332"/>
    <w:rsid w:val="00C42535"/>
    <w:rsid w:val="00C426C8"/>
    <w:rsid w:val="00C4462B"/>
    <w:rsid w:val="00C46F22"/>
    <w:rsid w:val="00C5033B"/>
    <w:rsid w:val="00C62DA4"/>
    <w:rsid w:val="00C62F99"/>
    <w:rsid w:val="00C73332"/>
    <w:rsid w:val="00C74B74"/>
    <w:rsid w:val="00C80EC5"/>
    <w:rsid w:val="00C90A81"/>
    <w:rsid w:val="00C91B60"/>
    <w:rsid w:val="00C939FF"/>
    <w:rsid w:val="00C9613A"/>
    <w:rsid w:val="00C97D0F"/>
    <w:rsid w:val="00CB697D"/>
    <w:rsid w:val="00CC6750"/>
    <w:rsid w:val="00CE0EDE"/>
    <w:rsid w:val="00CF1DC8"/>
    <w:rsid w:val="00D04B8F"/>
    <w:rsid w:val="00D07A2B"/>
    <w:rsid w:val="00D220A5"/>
    <w:rsid w:val="00D426A3"/>
    <w:rsid w:val="00D42ABA"/>
    <w:rsid w:val="00D4317D"/>
    <w:rsid w:val="00D45008"/>
    <w:rsid w:val="00D50B87"/>
    <w:rsid w:val="00D50D6C"/>
    <w:rsid w:val="00D53EF1"/>
    <w:rsid w:val="00D71B73"/>
    <w:rsid w:val="00D8046D"/>
    <w:rsid w:val="00D833B2"/>
    <w:rsid w:val="00D843FD"/>
    <w:rsid w:val="00D85983"/>
    <w:rsid w:val="00D96C43"/>
    <w:rsid w:val="00DA2F1C"/>
    <w:rsid w:val="00DB1CDE"/>
    <w:rsid w:val="00DB6A88"/>
    <w:rsid w:val="00DC1DD3"/>
    <w:rsid w:val="00DD0F56"/>
    <w:rsid w:val="00DD342E"/>
    <w:rsid w:val="00DE6F54"/>
    <w:rsid w:val="00E014F9"/>
    <w:rsid w:val="00E0173A"/>
    <w:rsid w:val="00E0732C"/>
    <w:rsid w:val="00E11F18"/>
    <w:rsid w:val="00E1551D"/>
    <w:rsid w:val="00E279B5"/>
    <w:rsid w:val="00E33AAE"/>
    <w:rsid w:val="00E5287B"/>
    <w:rsid w:val="00E70303"/>
    <w:rsid w:val="00E81AAB"/>
    <w:rsid w:val="00E94DD2"/>
    <w:rsid w:val="00EA244F"/>
    <w:rsid w:val="00EB5BC3"/>
    <w:rsid w:val="00ED4432"/>
    <w:rsid w:val="00ED5AAB"/>
    <w:rsid w:val="00ED632E"/>
    <w:rsid w:val="00EF227F"/>
    <w:rsid w:val="00F05B6E"/>
    <w:rsid w:val="00F15013"/>
    <w:rsid w:val="00F21B76"/>
    <w:rsid w:val="00F2388E"/>
    <w:rsid w:val="00F30A38"/>
    <w:rsid w:val="00F322BE"/>
    <w:rsid w:val="00F323A4"/>
    <w:rsid w:val="00F47A9D"/>
    <w:rsid w:val="00F54687"/>
    <w:rsid w:val="00F54B70"/>
    <w:rsid w:val="00F7593D"/>
    <w:rsid w:val="00F938DB"/>
    <w:rsid w:val="00F93F51"/>
    <w:rsid w:val="00FA5FDF"/>
    <w:rsid w:val="00FA60E7"/>
    <w:rsid w:val="00FB0A02"/>
    <w:rsid w:val="00FC31B7"/>
    <w:rsid w:val="00FD48F2"/>
    <w:rsid w:val="00FD6380"/>
    <w:rsid w:val="00FD77D4"/>
    <w:rsid w:val="00FE1FAF"/>
    <w:rsid w:val="00FF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88E"/>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8617">
      <w:bodyDiv w:val="1"/>
      <w:marLeft w:val="0"/>
      <w:marRight w:val="0"/>
      <w:marTop w:val="0"/>
      <w:marBottom w:val="0"/>
      <w:divBdr>
        <w:top w:val="none" w:sz="0" w:space="0" w:color="auto"/>
        <w:left w:val="none" w:sz="0" w:space="0" w:color="auto"/>
        <w:bottom w:val="none" w:sz="0" w:space="0" w:color="auto"/>
        <w:right w:val="none" w:sz="0" w:space="0" w:color="auto"/>
      </w:divBdr>
      <w:divsChild>
        <w:div w:id="1649164025">
          <w:marLeft w:val="0"/>
          <w:marRight w:val="0"/>
          <w:marTop w:val="0"/>
          <w:marBottom w:val="0"/>
          <w:divBdr>
            <w:top w:val="none" w:sz="0" w:space="0" w:color="auto"/>
            <w:left w:val="none" w:sz="0" w:space="0" w:color="auto"/>
            <w:bottom w:val="none" w:sz="0" w:space="0" w:color="auto"/>
            <w:right w:val="none" w:sz="0" w:space="0" w:color="auto"/>
          </w:divBdr>
        </w:div>
        <w:div w:id="2058240996">
          <w:marLeft w:val="0"/>
          <w:marRight w:val="0"/>
          <w:marTop w:val="0"/>
          <w:marBottom w:val="0"/>
          <w:divBdr>
            <w:top w:val="none" w:sz="0" w:space="0" w:color="auto"/>
            <w:left w:val="none" w:sz="0" w:space="0" w:color="auto"/>
            <w:bottom w:val="none" w:sz="0" w:space="0" w:color="auto"/>
            <w:right w:val="none" w:sz="0" w:space="0" w:color="auto"/>
          </w:divBdr>
        </w:div>
        <w:div w:id="602347239">
          <w:marLeft w:val="0"/>
          <w:marRight w:val="0"/>
          <w:marTop w:val="0"/>
          <w:marBottom w:val="0"/>
          <w:divBdr>
            <w:top w:val="none" w:sz="0" w:space="0" w:color="auto"/>
            <w:left w:val="none" w:sz="0" w:space="0" w:color="auto"/>
            <w:bottom w:val="none" w:sz="0" w:space="0" w:color="auto"/>
            <w:right w:val="none" w:sz="0" w:space="0" w:color="auto"/>
          </w:divBdr>
        </w:div>
        <w:div w:id="614335853">
          <w:marLeft w:val="0"/>
          <w:marRight w:val="0"/>
          <w:marTop w:val="0"/>
          <w:marBottom w:val="0"/>
          <w:divBdr>
            <w:top w:val="none" w:sz="0" w:space="0" w:color="auto"/>
            <w:left w:val="none" w:sz="0" w:space="0" w:color="auto"/>
            <w:bottom w:val="none" w:sz="0" w:space="0" w:color="auto"/>
            <w:right w:val="none" w:sz="0" w:space="0" w:color="auto"/>
          </w:divBdr>
        </w:div>
        <w:div w:id="615717139">
          <w:marLeft w:val="0"/>
          <w:marRight w:val="0"/>
          <w:marTop w:val="0"/>
          <w:marBottom w:val="0"/>
          <w:divBdr>
            <w:top w:val="none" w:sz="0" w:space="0" w:color="auto"/>
            <w:left w:val="none" w:sz="0" w:space="0" w:color="auto"/>
            <w:bottom w:val="none" w:sz="0" w:space="0" w:color="auto"/>
            <w:right w:val="none" w:sz="0" w:space="0" w:color="auto"/>
          </w:divBdr>
        </w:div>
        <w:div w:id="1930506961">
          <w:marLeft w:val="0"/>
          <w:marRight w:val="0"/>
          <w:marTop w:val="0"/>
          <w:marBottom w:val="0"/>
          <w:divBdr>
            <w:top w:val="none" w:sz="0" w:space="0" w:color="auto"/>
            <w:left w:val="none" w:sz="0" w:space="0" w:color="auto"/>
            <w:bottom w:val="none" w:sz="0" w:space="0" w:color="auto"/>
            <w:right w:val="none" w:sz="0" w:space="0" w:color="auto"/>
          </w:divBdr>
        </w:div>
        <w:div w:id="82189231">
          <w:marLeft w:val="0"/>
          <w:marRight w:val="0"/>
          <w:marTop w:val="0"/>
          <w:marBottom w:val="0"/>
          <w:divBdr>
            <w:top w:val="none" w:sz="0" w:space="0" w:color="auto"/>
            <w:left w:val="none" w:sz="0" w:space="0" w:color="auto"/>
            <w:bottom w:val="none" w:sz="0" w:space="0" w:color="auto"/>
            <w:right w:val="none" w:sz="0" w:space="0" w:color="auto"/>
          </w:divBdr>
        </w:div>
        <w:div w:id="321544393">
          <w:marLeft w:val="0"/>
          <w:marRight w:val="0"/>
          <w:marTop w:val="0"/>
          <w:marBottom w:val="0"/>
          <w:divBdr>
            <w:top w:val="none" w:sz="0" w:space="0" w:color="auto"/>
            <w:left w:val="none" w:sz="0" w:space="0" w:color="auto"/>
            <w:bottom w:val="none" w:sz="0" w:space="0" w:color="auto"/>
            <w:right w:val="none" w:sz="0" w:space="0" w:color="auto"/>
          </w:divBdr>
        </w:div>
      </w:divsChild>
    </w:div>
    <w:div w:id="469634817">
      <w:bodyDiv w:val="1"/>
      <w:marLeft w:val="0"/>
      <w:marRight w:val="0"/>
      <w:marTop w:val="0"/>
      <w:marBottom w:val="0"/>
      <w:divBdr>
        <w:top w:val="none" w:sz="0" w:space="0" w:color="auto"/>
        <w:left w:val="none" w:sz="0" w:space="0" w:color="auto"/>
        <w:bottom w:val="none" w:sz="0" w:space="0" w:color="auto"/>
        <w:right w:val="none" w:sz="0" w:space="0" w:color="auto"/>
      </w:divBdr>
    </w:div>
    <w:div w:id="566185651">
      <w:bodyDiv w:val="1"/>
      <w:marLeft w:val="0"/>
      <w:marRight w:val="0"/>
      <w:marTop w:val="0"/>
      <w:marBottom w:val="0"/>
      <w:divBdr>
        <w:top w:val="none" w:sz="0" w:space="0" w:color="auto"/>
        <w:left w:val="none" w:sz="0" w:space="0" w:color="auto"/>
        <w:bottom w:val="none" w:sz="0" w:space="0" w:color="auto"/>
        <w:right w:val="none" w:sz="0" w:space="0" w:color="auto"/>
      </w:divBdr>
    </w:div>
    <w:div w:id="572205346">
      <w:bodyDiv w:val="1"/>
      <w:marLeft w:val="0"/>
      <w:marRight w:val="0"/>
      <w:marTop w:val="0"/>
      <w:marBottom w:val="0"/>
      <w:divBdr>
        <w:top w:val="none" w:sz="0" w:space="0" w:color="auto"/>
        <w:left w:val="none" w:sz="0" w:space="0" w:color="auto"/>
        <w:bottom w:val="none" w:sz="0" w:space="0" w:color="auto"/>
        <w:right w:val="none" w:sz="0" w:space="0" w:color="auto"/>
      </w:divBdr>
      <w:divsChild>
        <w:div w:id="1802141389">
          <w:marLeft w:val="0"/>
          <w:marRight w:val="0"/>
          <w:marTop w:val="0"/>
          <w:marBottom w:val="0"/>
          <w:divBdr>
            <w:top w:val="none" w:sz="0" w:space="0" w:color="auto"/>
            <w:left w:val="none" w:sz="0" w:space="0" w:color="auto"/>
            <w:bottom w:val="none" w:sz="0" w:space="0" w:color="auto"/>
            <w:right w:val="none" w:sz="0" w:space="0" w:color="auto"/>
          </w:divBdr>
        </w:div>
        <w:div w:id="887036986">
          <w:marLeft w:val="0"/>
          <w:marRight w:val="0"/>
          <w:marTop w:val="0"/>
          <w:marBottom w:val="0"/>
          <w:divBdr>
            <w:top w:val="none" w:sz="0" w:space="0" w:color="auto"/>
            <w:left w:val="none" w:sz="0" w:space="0" w:color="auto"/>
            <w:bottom w:val="none" w:sz="0" w:space="0" w:color="auto"/>
            <w:right w:val="none" w:sz="0" w:space="0" w:color="auto"/>
          </w:divBdr>
        </w:div>
        <w:div w:id="2120173504">
          <w:marLeft w:val="0"/>
          <w:marRight w:val="0"/>
          <w:marTop w:val="0"/>
          <w:marBottom w:val="0"/>
          <w:divBdr>
            <w:top w:val="none" w:sz="0" w:space="0" w:color="auto"/>
            <w:left w:val="none" w:sz="0" w:space="0" w:color="auto"/>
            <w:bottom w:val="none" w:sz="0" w:space="0" w:color="auto"/>
            <w:right w:val="none" w:sz="0" w:space="0" w:color="auto"/>
          </w:divBdr>
        </w:div>
      </w:divsChild>
    </w:div>
    <w:div w:id="697390864">
      <w:bodyDiv w:val="1"/>
      <w:marLeft w:val="0"/>
      <w:marRight w:val="0"/>
      <w:marTop w:val="0"/>
      <w:marBottom w:val="0"/>
      <w:divBdr>
        <w:top w:val="none" w:sz="0" w:space="0" w:color="auto"/>
        <w:left w:val="none" w:sz="0" w:space="0" w:color="auto"/>
        <w:bottom w:val="none" w:sz="0" w:space="0" w:color="auto"/>
        <w:right w:val="none" w:sz="0" w:space="0" w:color="auto"/>
      </w:divBdr>
      <w:divsChild>
        <w:div w:id="810250533">
          <w:marLeft w:val="0"/>
          <w:marRight w:val="0"/>
          <w:marTop w:val="0"/>
          <w:marBottom w:val="0"/>
          <w:divBdr>
            <w:top w:val="none" w:sz="0" w:space="0" w:color="auto"/>
            <w:left w:val="none" w:sz="0" w:space="0" w:color="auto"/>
            <w:bottom w:val="none" w:sz="0" w:space="0" w:color="auto"/>
            <w:right w:val="none" w:sz="0" w:space="0" w:color="auto"/>
          </w:divBdr>
        </w:div>
        <w:div w:id="884560663">
          <w:marLeft w:val="0"/>
          <w:marRight w:val="0"/>
          <w:marTop w:val="0"/>
          <w:marBottom w:val="0"/>
          <w:divBdr>
            <w:top w:val="none" w:sz="0" w:space="0" w:color="auto"/>
            <w:left w:val="none" w:sz="0" w:space="0" w:color="auto"/>
            <w:bottom w:val="none" w:sz="0" w:space="0" w:color="auto"/>
            <w:right w:val="none" w:sz="0" w:space="0" w:color="auto"/>
          </w:divBdr>
        </w:div>
      </w:divsChild>
    </w:div>
    <w:div w:id="727920384">
      <w:bodyDiv w:val="1"/>
      <w:marLeft w:val="0"/>
      <w:marRight w:val="0"/>
      <w:marTop w:val="0"/>
      <w:marBottom w:val="0"/>
      <w:divBdr>
        <w:top w:val="none" w:sz="0" w:space="0" w:color="auto"/>
        <w:left w:val="none" w:sz="0" w:space="0" w:color="auto"/>
        <w:bottom w:val="none" w:sz="0" w:space="0" w:color="auto"/>
        <w:right w:val="none" w:sz="0" w:space="0" w:color="auto"/>
      </w:divBdr>
      <w:divsChild>
        <w:div w:id="1961837099">
          <w:marLeft w:val="0"/>
          <w:marRight w:val="0"/>
          <w:marTop w:val="0"/>
          <w:marBottom w:val="0"/>
          <w:divBdr>
            <w:top w:val="none" w:sz="0" w:space="0" w:color="auto"/>
            <w:left w:val="none" w:sz="0" w:space="0" w:color="auto"/>
            <w:bottom w:val="none" w:sz="0" w:space="0" w:color="auto"/>
            <w:right w:val="none" w:sz="0" w:space="0" w:color="auto"/>
          </w:divBdr>
        </w:div>
        <w:div w:id="345716714">
          <w:marLeft w:val="0"/>
          <w:marRight w:val="0"/>
          <w:marTop w:val="0"/>
          <w:marBottom w:val="0"/>
          <w:divBdr>
            <w:top w:val="none" w:sz="0" w:space="0" w:color="auto"/>
            <w:left w:val="none" w:sz="0" w:space="0" w:color="auto"/>
            <w:bottom w:val="none" w:sz="0" w:space="0" w:color="auto"/>
            <w:right w:val="none" w:sz="0" w:space="0" w:color="auto"/>
          </w:divBdr>
        </w:div>
      </w:divsChild>
    </w:div>
    <w:div w:id="850803889">
      <w:bodyDiv w:val="1"/>
      <w:marLeft w:val="0"/>
      <w:marRight w:val="0"/>
      <w:marTop w:val="0"/>
      <w:marBottom w:val="0"/>
      <w:divBdr>
        <w:top w:val="none" w:sz="0" w:space="0" w:color="auto"/>
        <w:left w:val="none" w:sz="0" w:space="0" w:color="auto"/>
        <w:bottom w:val="none" w:sz="0" w:space="0" w:color="auto"/>
        <w:right w:val="none" w:sz="0" w:space="0" w:color="auto"/>
      </w:divBdr>
    </w:div>
    <w:div w:id="902254719">
      <w:bodyDiv w:val="1"/>
      <w:marLeft w:val="0"/>
      <w:marRight w:val="0"/>
      <w:marTop w:val="0"/>
      <w:marBottom w:val="0"/>
      <w:divBdr>
        <w:top w:val="none" w:sz="0" w:space="0" w:color="auto"/>
        <w:left w:val="none" w:sz="0" w:space="0" w:color="auto"/>
        <w:bottom w:val="none" w:sz="0" w:space="0" w:color="auto"/>
        <w:right w:val="none" w:sz="0" w:space="0" w:color="auto"/>
      </w:divBdr>
      <w:divsChild>
        <w:div w:id="1165244855">
          <w:marLeft w:val="0"/>
          <w:marRight w:val="0"/>
          <w:marTop w:val="0"/>
          <w:marBottom w:val="0"/>
          <w:divBdr>
            <w:top w:val="none" w:sz="0" w:space="0" w:color="auto"/>
            <w:left w:val="none" w:sz="0" w:space="0" w:color="auto"/>
            <w:bottom w:val="none" w:sz="0" w:space="0" w:color="auto"/>
            <w:right w:val="none" w:sz="0" w:space="0" w:color="auto"/>
          </w:divBdr>
        </w:div>
        <w:div w:id="1216939424">
          <w:marLeft w:val="0"/>
          <w:marRight w:val="0"/>
          <w:marTop w:val="0"/>
          <w:marBottom w:val="0"/>
          <w:divBdr>
            <w:top w:val="none" w:sz="0" w:space="0" w:color="auto"/>
            <w:left w:val="none" w:sz="0" w:space="0" w:color="auto"/>
            <w:bottom w:val="none" w:sz="0" w:space="0" w:color="auto"/>
            <w:right w:val="none" w:sz="0" w:space="0" w:color="auto"/>
          </w:divBdr>
        </w:div>
        <w:div w:id="1140539358">
          <w:marLeft w:val="0"/>
          <w:marRight w:val="0"/>
          <w:marTop w:val="0"/>
          <w:marBottom w:val="0"/>
          <w:divBdr>
            <w:top w:val="none" w:sz="0" w:space="0" w:color="auto"/>
            <w:left w:val="none" w:sz="0" w:space="0" w:color="auto"/>
            <w:bottom w:val="none" w:sz="0" w:space="0" w:color="auto"/>
            <w:right w:val="none" w:sz="0" w:space="0" w:color="auto"/>
          </w:divBdr>
        </w:div>
        <w:div w:id="902058104">
          <w:marLeft w:val="0"/>
          <w:marRight w:val="0"/>
          <w:marTop w:val="0"/>
          <w:marBottom w:val="0"/>
          <w:divBdr>
            <w:top w:val="none" w:sz="0" w:space="0" w:color="auto"/>
            <w:left w:val="none" w:sz="0" w:space="0" w:color="auto"/>
            <w:bottom w:val="none" w:sz="0" w:space="0" w:color="auto"/>
            <w:right w:val="none" w:sz="0" w:space="0" w:color="auto"/>
          </w:divBdr>
        </w:div>
        <w:div w:id="683046938">
          <w:marLeft w:val="0"/>
          <w:marRight w:val="0"/>
          <w:marTop w:val="0"/>
          <w:marBottom w:val="0"/>
          <w:divBdr>
            <w:top w:val="none" w:sz="0" w:space="0" w:color="auto"/>
            <w:left w:val="none" w:sz="0" w:space="0" w:color="auto"/>
            <w:bottom w:val="none" w:sz="0" w:space="0" w:color="auto"/>
            <w:right w:val="none" w:sz="0" w:space="0" w:color="auto"/>
          </w:divBdr>
        </w:div>
        <w:div w:id="581111653">
          <w:marLeft w:val="0"/>
          <w:marRight w:val="0"/>
          <w:marTop w:val="0"/>
          <w:marBottom w:val="0"/>
          <w:divBdr>
            <w:top w:val="none" w:sz="0" w:space="0" w:color="auto"/>
            <w:left w:val="none" w:sz="0" w:space="0" w:color="auto"/>
            <w:bottom w:val="none" w:sz="0" w:space="0" w:color="auto"/>
            <w:right w:val="none" w:sz="0" w:space="0" w:color="auto"/>
          </w:divBdr>
        </w:div>
        <w:div w:id="833303598">
          <w:marLeft w:val="0"/>
          <w:marRight w:val="0"/>
          <w:marTop w:val="0"/>
          <w:marBottom w:val="0"/>
          <w:divBdr>
            <w:top w:val="none" w:sz="0" w:space="0" w:color="auto"/>
            <w:left w:val="none" w:sz="0" w:space="0" w:color="auto"/>
            <w:bottom w:val="none" w:sz="0" w:space="0" w:color="auto"/>
            <w:right w:val="none" w:sz="0" w:space="0" w:color="auto"/>
          </w:divBdr>
        </w:div>
        <w:div w:id="1800487498">
          <w:marLeft w:val="0"/>
          <w:marRight w:val="0"/>
          <w:marTop w:val="0"/>
          <w:marBottom w:val="0"/>
          <w:divBdr>
            <w:top w:val="none" w:sz="0" w:space="0" w:color="auto"/>
            <w:left w:val="none" w:sz="0" w:space="0" w:color="auto"/>
            <w:bottom w:val="none" w:sz="0" w:space="0" w:color="auto"/>
            <w:right w:val="none" w:sz="0" w:space="0" w:color="auto"/>
          </w:divBdr>
        </w:div>
      </w:divsChild>
    </w:div>
    <w:div w:id="1189830726">
      <w:bodyDiv w:val="1"/>
      <w:marLeft w:val="0"/>
      <w:marRight w:val="0"/>
      <w:marTop w:val="0"/>
      <w:marBottom w:val="0"/>
      <w:divBdr>
        <w:top w:val="none" w:sz="0" w:space="0" w:color="auto"/>
        <w:left w:val="none" w:sz="0" w:space="0" w:color="auto"/>
        <w:bottom w:val="none" w:sz="0" w:space="0" w:color="auto"/>
        <w:right w:val="none" w:sz="0" w:space="0" w:color="auto"/>
      </w:divBdr>
    </w:div>
    <w:div w:id="1403721935">
      <w:bodyDiv w:val="1"/>
      <w:marLeft w:val="0"/>
      <w:marRight w:val="0"/>
      <w:marTop w:val="0"/>
      <w:marBottom w:val="0"/>
      <w:divBdr>
        <w:top w:val="none" w:sz="0" w:space="0" w:color="auto"/>
        <w:left w:val="none" w:sz="0" w:space="0" w:color="auto"/>
        <w:bottom w:val="none" w:sz="0" w:space="0" w:color="auto"/>
        <w:right w:val="none" w:sz="0" w:space="0" w:color="auto"/>
      </w:divBdr>
    </w:div>
    <w:div w:id="1435323377">
      <w:bodyDiv w:val="1"/>
      <w:marLeft w:val="0"/>
      <w:marRight w:val="0"/>
      <w:marTop w:val="0"/>
      <w:marBottom w:val="0"/>
      <w:divBdr>
        <w:top w:val="none" w:sz="0" w:space="0" w:color="auto"/>
        <w:left w:val="none" w:sz="0" w:space="0" w:color="auto"/>
        <w:bottom w:val="none" w:sz="0" w:space="0" w:color="auto"/>
        <w:right w:val="none" w:sz="0" w:space="0" w:color="auto"/>
      </w:divBdr>
    </w:div>
    <w:div w:id="1492212719">
      <w:bodyDiv w:val="1"/>
      <w:marLeft w:val="0"/>
      <w:marRight w:val="0"/>
      <w:marTop w:val="0"/>
      <w:marBottom w:val="0"/>
      <w:divBdr>
        <w:top w:val="none" w:sz="0" w:space="0" w:color="auto"/>
        <w:left w:val="none" w:sz="0" w:space="0" w:color="auto"/>
        <w:bottom w:val="none" w:sz="0" w:space="0" w:color="auto"/>
        <w:right w:val="none" w:sz="0" w:space="0" w:color="auto"/>
      </w:divBdr>
    </w:div>
    <w:div w:id="1641495150">
      <w:bodyDiv w:val="1"/>
      <w:marLeft w:val="0"/>
      <w:marRight w:val="0"/>
      <w:marTop w:val="0"/>
      <w:marBottom w:val="0"/>
      <w:divBdr>
        <w:top w:val="none" w:sz="0" w:space="0" w:color="auto"/>
        <w:left w:val="none" w:sz="0" w:space="0" w:color="auto"/>
        <w:bottom w:val="none" w:sz="0" w:space="0" w:color="auto"/>
        <w:right w:val="none" w:sz="0" w:space="0" w:color="auto"/>
      </w:divBdr>
    </w:div>
    <w:div w:id="1918204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404D-1472-A241-AE6D-226F39306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214</cp:revision>
  <dcterms:created xsi:type="dcterms:W3CDTF">2018-09-28T16:09:00Z</dcterms:created>
  <dcterms:modified xsi:type="dcterms:W3CDTF">2019-03-04T00:49:00Z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