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5BB3" w14:textId="170C6593" w:rsidR="009C776C" w:rsidRPr="005715CC" w:rsidRDefault="00563AC0" w:rsidP="005702DC">
      <w:pPr>
        <w:spacing w:line="480" w:lineRule="auto"/>
        <w:jc w:val="both"/>
        <w:rPr>
          <w:rFonts w:ascii="Calibri" w:hAnsi="Calibri" w:cs="Calibri"/>
        </w:rPr>
      </w:pPr>
      <w:r w:rsidRPr="005715CC">
        <w:rPr>
          <w:rFonts w:ascii="Calibri" w:hAnsi="Calibri" w:cs="Calibri"/>
          <w:b/>
        </w:rPr>
        <w:t>Definitions</w:t>
      </w:r>
      <w:r w:rsidR="00C8503E" w:rsidRPr="005715CC">
        <w:rPr>
          <w:rFonts w:ascii="Calibri" w:hAnsi="Calibri" w:cs="Calibri"/>
          <w:b/>
        </w:rPr>
        <w:t xml:space="preserve">, </w:t>
      </w:r>
      <w:r w:rsidR="008E5027" w:rsidRPr="005715CC">
        <w:rPr>
          <w:rFonts w:ascii="Calibri" w:hAnsi="Calibri" w:cs="Calibri"/>
          <w:b/>
        </w:rPr>
        <w:t>Measurement</w:t>
      </w:r>
      <w:r w:rsidR="00C8503E" w:rsidRPr="005715CC">
        <w:rPr>
          <w:rFonts w:ascii="Calibri" w:hAnsi="Calibri" w:cs="Calibri"/>
          <w:b/>
        </w:rPr>
        <w:t>, and Data.</w:t>
      </w:r>
      <w:r w:rsidR="008E5027" w:rsidRPr="005715CC">
        <w:rPr>
          <w:rFonts w:ascii="Calibri" w:hAnsi="Calibri" w:cs="Calibri"/>
          <w:b/>
        </w:rPr>
        <w:t xml:space="preserve"> </w:t>
      </w:r>
      <w:r w:rsidR="00C2517A" w:rsidRPr="005715CC">
        <w:rPr>
          <w:rFonts w:ascii="Calibri" w:hAnsi="Calibri" w:cs="Calibri"/>
        </w:rPr>
        <w:t xml:space="preserve">If income </w:t>
      </w:r>
      <w:r w:rsidR="00573479" w:rsidRPr="005715CC">
        <w:rPr>
          <w:rFonts w:ascii="Calibri" w:hAnsi="Calibri" w:cs="Calibri"/>
        </w:rPr>
        <w:t>can be thought of as</w:t>
      </w:r>
      <w:r w:rsidR="00C2517A" w:rsidRPr="005715CC">
        <w:rPr>
          <w:rFonts w:ascii="Calibri" w:hAnsi="Calibri" w:cs="Calibri"/>
        </w:rPr>
        <w:t xml:space="preserve"> a flow, th</w:t>
      </w:r>
      <w:r w:rsidR="000A4236" w:rsidRPr="005715CC">
        <w:rPr>
          <w:rFonts w:ascii="Calibri" w:hAnsi="Calibri" w:cs="Calibri"/>
        </w:rPr>
        <w:t>e</w:t>
      </w:r>
      <w:r w:rsidR="00C2517A" w:rsidRPr="005715CC">
        <w:rPr>
          <w:rFonts w:ascii="Calibri" w:hAnsi="Calibri" w:cs="Calibri"/>
        </w:rPr>
        <w:t xml:space="preserve">n wealth </w:t>
      </w:r>
      <w:r w:rsidR="00573479" w:rsidRPr="005715CC">
        <w:rPr>
          <w:rFonts w:ascii="Calibri" w:hAnsi="Calibri" w:cs="Calibri"/>
        </w:rPr>
        <w:t>a</w:t>
      </w:r>
      <w:r w:rsidR="00C2517A" w:rsidRPr="005715CC">
        <w:rPr>
          <w:rFonts w:ascii="Calibri" w:hAnsi="Calibri" w:cs="Calibri"/>
        </w:rPr>
        <w:t xml:space="preserve"> stock. </w:t>
      </w:r>
      <w:r w:rsidR="00BA3AF9" w:rsidRPr="005715CC">
        <w:rPr>
          <w:rFonts w:ascii="Calibri" w:hAnsi="Calibri" w:cs="Calibri"/>
        </w:rPr>
        <w:t>Wealth</w:t>
      </w:r>
      <w:r w:rsidR="00D307E3" w:rsidRPr="005715CC">
        <w:rPr>
          <w:rFonts w:ascii="Calibri" w:hAnsi="Calibri" w:cs="Calibri"/>
        </w:rPr>
        <w:t xml:space="preserve"> is generally defined as the</w:t>
      </w:r>
      <w:r w:rsidR="006F7866" w:rsidRPr="005715CC">
        <w:rPr>
          <w:rFonts w:ascii="Calibri" w:hAnsi="Calibri" w:cs="Calibri"/>
        </w:rPr>
        <w:t xml:space="preserve"> value of</w:t>
      </w:r>
      <w:r w:rsidR="00742234" w:rsidRPr="005715CC">
        <w:rPr>
          <w:rFonts w:ascii="Calibri" w:hAnsi="Calibri" w:cs="Calibri"/>
        </w:rPr>
        <w:t xml:space="preserve"> assets minus </w:t>
      </w:r>
      <w:r w:rsidR="006F7866" w:rsidRPr="005715CC">
        <w:rPr>
          <w:rFonts w:ascii="Calibri" w:hAnsi="Calibri" w:cs="Calibri"/>
        </w:rPr>
        <w:t xml:space="preserve">the value of </w:t>
      </w:r>
      <w:r w:rsidR="00742234" w:rsidRPr="005715CC">
        <w:rPr>
          <w:rFonts w:ascii="Calibri" w:hAnsi="Calibri" w:cs="Calibri"/>
        </w:rPr>
        <w:t>liabilities, but is difficult to measure</w:t>
      </w:r>
      <w:r w:rsidR="00BF0879" w:rsidRPr="005715CC">
        <w:rPr>
          <w:rFonts w:ascii="Calibri" w:hAnsi="Calibri" w:cs="Calibri"/>
        </w:rPr>
        <w:t xml:space="preserve">, primarily because of </w:t>
      </w:r>
      <w:bookmarkStart w:id="0" w:name="_GoBack"/>
      <w:bookmarkEnd w:id="0"/>
      <w:r w:rsidR="00BF0879" w:rsidRPr="005715CC">
        <w:rPr>
          <w:rFonts w:ascii="Calibri" w:hAnsi="Calibri" w:cs="Calibri"/>
        </w:rPr>
        <w:t xml:space="preserve">its </w:t>
      </w:r>
      <w:r w:rsidR="00BC4C8E" w:rsidRPr="005715CC">
        <w:rPr>
          <w:rFonts w:ascii="Calibri" w:hAnsi="Calibri" w:cs="Calibri"/>
        </w:rPr>
        <w:t xml:space="preserve">cumulative </w:t>
      </w:r>
      <w:r w:rsidR="00BF0879" w:rsidRPr="005715CC">
        <w:rPr>
          <w:rFonts w:ascii="Calibri" w:hAnsi="Calibri" w:cs="Calibri"/>
        </w:rPr>
        <w:t>nature</w:t>
      </w:r>
      <w:r w:rsidR="007B0C88" w:rsidRPr="005715CC">
        <w:rPr>
          <w:rFonts w:ascii="Calibri" w:hAnsi="Calibri" w:cs="Calibri"/>
        </w:rPr>
        <w:t xml:space="preserve">, the cumulative effect of income on wealth, and the endogeneity of many </w:t>
      </w:r>
      <w:r w:rsidR="00A5693A" w:rsidRPr="005715CC">
        <w:rPr>
          <w:rFonts w:ascii="Calibri" w:hAnsi="Calibri" w:cs="Calibri"/>
        </w:rPr>
        <w:t>common control variables, like marital status, neighborhood context, and age.</w:t>
      </w:r>
      <w:r w:rsidR="00620EA8" w:rsidRPr="005715CC">
        <w:rPr>
          <w:rFonts w:ascii="Calibri" w:hAnsi="Calibri" w:cs="Calibri"/>
        </w:rPr>
        <w:t xml:space="preserve"> </w:t>
      </w:r>
      <w:r w:rsidR="00BA40B9" w:rsidRPr="005715CC">
        <w:rPr>
          <w:rFonts w:ascii="Calibri" w:hAnsi="Calibri" w:cs="Calibri"/>
        </w:rPr>
        <w:t>M</w:t>
      </w:r>
      <w:r w:rsidR="00620EA8" w:rsidRPr="005715CC">
        <w:rPr>
          <w:rFonts w:ascii="Calibri" w:hAnsi="Calibri" w:cs="Calibri"/>
        </w:rPr>
        <w:t xml:space="preserve">odeling wealth accumulation, averaging income, or using lagged dependent variables </w:t>
      </w:r>
      <w:r w:rsidR="00BA40B9" w:rsidRPr="005715CC">
        <w:rPr>
          <w:rFonts w:ascii="Calibri" w:hAnsi="Calibri" w:cs="Calibri"/>
        </w:rPr>
        <w:t>are ways around requiring lifetime histories of co-variates.</w:t>
      </w:r>
      <w:r w:rsidR="00FD3693" w:rsidRPr="005715CC">
        <w:rPr>
          <w:rFonts w:ascii="Calibri" w:hAnsi="Calibri" w:cs="Calibri"/>
        </w:rPr>
        <w:t xml:space="preserve"> </w:t>
      </w:r>
      <w:r w:rsidR="00E91662" w:rsidRPr="005715CC">
        <w:rPr>
          <w:rFonts w:ascii="Calibri" w:hAnsi="Calibri" w:cs="Calibri"/>
        </w:rPr>
        <w:t xml:space="preserve">Additionally, operationalizing an error-prone, highly skewed variable like wealth requires other </w:t>
      </w:r>
      <w:r w:rsidR="00E7472B" w:rsidRPr="005715CC">
        <w:rPr>
          <w:rFonts w:ascii="Calibri" w:hAnsi="Calibri" w:cs="Calibri"/>
        </w:rPr>
        <w:t xml:space="preserve">methodological considerations like </w:t>
      </w:r>
      <w:r w:rsidR="001021F5" w:rsidRPr="005715CC">
        <w:rPr>
          <w:rFonts w:ascii="Calibri" w:hAnsi="Calibri" w:cs="Calibri"/>
        </w:rPr>
        <w:t>using median regression, top coding, log transformations,</w:t>
      </w:r>
      <w:r w:rsidR="00BA40B9" w:rsidRPr="005715CC">
        <w:rPr>
          <w:rFonts w:ascii="Calibri" w:hAnsi="Calibri" w:cs="Calibri"/>
        </w:rPr>
        <w:t xml:space="preserve"> and inverse hyperbolic sine transformations.</w:t>
      </w:r>
      <w:r w:rsidR="00FD3693" w:rsidRPr="005715CC">
        <w:rPr>
          <w:rFonts w:ascii="Calibri" w:hAnsi="Calibri" w:cs="Calibri"/>
        </w:rPr>
        <w:t xml:space="preserve"> </w:t>
      </w:r>
      <w:proofErr w:type="spellStart"/>
      <w:r w:rsidR="000A4236" w:rsidRPr="005715CC">
        <w:rPr>
          <w:rFonts w:ascii="Calibri" w:hAnsi="Calibri" w:cs="Calibri"/>
        </w:rPr>
        <w:t>Killewald</w:t>
      </w:r>
      <w:proofErr w:type="spellEnd"/>
      <w:r w:rsidR="000A4236" w:rsidRPr="005715CC">
        <w:rPr>
          <w:rFonts w:ascii="Calibri" w:hAnsi="Calibri" w:cs="Calibri"/>
        </w:rPr>
        <w:t xml:space="preserve">, Pfeffer, and </w:t>
      </w:r>
      <w:proofErr w:type="spellStart"/>
      <w:r w:rsidR="000A4236" w:rsidRPr="005715CC">
        <w:rPr>
          <w:rFonts w:ascii="Calibri" w:hAnsi="Calibri" w:cs="Calibri"/>
        </w:rPr>
        <w:t>Schachner</w:t>
      </w:r>
      <w:proofErr w:type="spellEnd"/>
      <w:r w:rsidR="000A4236" w:rsidRPr="005715CC">
        <w:rPr>
          <w:rFonts w:ascii="Calibri" w:hAnsi="Calibri" w:cs="Calibri"/>
        </w:rPr>
        <w:t xml:space="preserve"> </w:t>
      </w:r>
      <w:r w:rsidR="000A4236" w:rsidRPr="005715CC">
        <w:rPr>
          <w:rFonts w:ascii="Calibri" w:hAnsi="Calibri" w:cs="Calibri"/>
        </w:rPr>
        <w:fldChar w:fldCharType="begin" w:fldLock="1"/>
      </w:r>
      <w:r w:rsidR="00BB192D" w:rsidRPr="005715CC">
        <w:rPr>
          <w:rFonts w:ascii="Calibri" w:hAnsi="Calibri" w:cs="Calibri"/>
        </w:rPr>
        <w:instrText>ADDIN CSL_CITATION {"citationItems":[{"id":"ITEM-1","itemData":{"DOI":"10.1146/annurev-soc-060116-053331","ISSN":"0360-0572","abstract":"Research on wealth inequality and accumulation and the data upon which it relies have expanded substantially in the twenty-first century. Although the field has experienced rapid growth, conceptual and methodological challenges remain. We begin by discussing two major unresolved methodological concerns facing wealth research: how to address challenges to causal inference posed by wealth's cumulative nature and how to operationalize net worth given its highly skewed distribution. Next, we provide an overview of data sources available for wealth research. To underscore the need for continued empirical attention to net worth, we review trends in wealth levels and inequality and evaluate wealth's distinctiveness as an indicator of social stratification. We then review recent empirical evidence on the effects of wealth on other social outcomes, as well as research on the determinants of wealth. We close with a list of promising avenues for future research on wealth, its causes, and its consequences.","author":[{"dropping-particle":"","family":"Killewald","given":"Alexandra","non-dropping-particle":"","parse-names":false,"suffix":""},{"dropping-particle":"","family":"Pfeffer","given":"Fabian T","non-dropping-particle":"","parse-names":false,"suffix":""},{"dropping-particle":"","family":"Schachner","given":"Jared N","non-dropping-particle":"","parse-names":false,"suffix":""}],"container-title":"Annual Review of Sociology","id":"ITEM-1","issue":"1","issued":{"date-parts":[["2017","7","31"]]},"note":"doi: 10.1146/annurev-soc-060116-053331","page":"379-404","publisher":"Annual Reviews","title":"Wealth Inequality and Accumulation","type":"article-journal","volume":"43"},"suppress-author":1,"uris":["http://www.mendeley.com/documents/?uuid=b114d342-19c5-410d-988a-01ffb60dc439"]}],"mendeley":{"formattedCitation":"(2017)","plainTextFormattedCitation":"(2017)","previouslyFormattedCitation":"(2017)"},"properties":{"noteIndex":0},"schema":"https://github.com/citation-style-language/schema/raw/master/csl-citation.json"}</w:instrText>
      </w:r>
      <w:r w:rsidR="000A4236" w:rsidRPr="005715CC">
        <w:rPr>
          <w:rFonts w:ascii="Calibri" w:hAnsi="Calibri" w:cs="Calibri"/>
        </w:rPr>
        <w:fldChar w:fldCharType="separate"/>
      </w:r>
      <w:r w:rsidR="000A4236" w:rsidRPr="005715CC">
        <w:rPr>
          <w:rFonts w:ascii="Calibri" w:hAnsi="Calibri" w:cs="Calibri"/>
          <w:noProof/>
        </w:rPr>
        <w:t>(2017)</w:t>
      </w:r>
      <w:r w:rsidR="000A4236" w:rsidRPr="005715CC">
        <w:rPr>
          <w:rFonts w:ascii="Calibri" w:hAnsi="Calibri" w:cs="Calibri"/>
        </w:rPr>
        <w:fldChar w:fldCharType="end"/>
      </w:r>
      <w:r w:rsidR="000A4236" w:rsidRPr="005715CC">
        <w:rPr>
          <w:rFonts w:ascii="Calibri" w:hAnsi="Calibri" w:cs="Calibri"/>
        </w:rPr>
        <w:t xml:space="preserve"> have different suggestions of how to handle wealth if it is a dependent or independent variable and argue that</w:t>
      </w:r>
      <w:r w:rsidR="00C8503E" w:rsidRPr="005715CC">
        <w:rPr>
          <w:rFonts w:ascii="Calibri" w:hAnsi="Calibri" w:cs="Calibri"/>
        </w:rPr>
        <w:t xml:space="preserve"> </w:t>
      </w:r>
      <w:proofErr w:type="spellStart"/>
      <w:r w:rsidR="00176E3B" w:rsidRPr="005715CC">
        <w:rPr>
          <w:rFonts w:ascii="Calibri" w:hAnsi="Calibri" w:cs="Calibri"/>
        </w:rPr>
        <w:t>SCF</w:t>
      </w:r>
      <w:proofErr w:type="spellEnd"/>
      <w:r w:rsidR="00176E3B" w:rsidRPr="005715CC">
        <w:rPr>
          <w:rFonts w:ascii="Calibri" w:hAnsi="Calibri" w:cs="Calibri"/>
        </w:rPr>
        <w:t xml:space="preserve"> </w:t>
      </w:r>
      <w:r w:rsidR="00C8503E" w:rsidRPr="005715CC">
        <w:rPr>
          <w:rFonts w:ascii="Calibri" w:hAnsi="Calibri" w:cs="Calibri"/>
        </w:rPr>
        <w:t xml:space="preserve">is the benchmark, but the </w:t>
      </w:r>
      <w:proofErr w:type="spellStart"/>
      <w:r w:rsidR="00C8503E" w:rsidRPr="005715CC">
        <w:rPr>
          <w:rFonts w:ascii="Calibri" w:hAnsi="Calibri" w:cs="Calibri"/>
        </w:rPr>
        <w:t>PSID</w:t>
      </w:r>
      <w:proofErr w:type="spellEnd"/>
      <w:r w:rsidR="00C8503E" w:rsidRPr="005715CC">
        <w:rPr>
          <w:rFonts w:ascii="Calibri" w:hAnsi="Calibri" w:cs="Calibri"/>
        </w:rPr>
        <w:t xml:space="preserve"> and the </w:t>
      </w:r>
      <w:r w:rsidR="00176E3B" w:rsidRPr="005715CC">
        <w:rPr>
          <w:rFonts w:ascii="Calibri" w:hAnsi="Calibri" w:cs="Calibri"/>
        </w:rPr>
        <w:t>HRS</w:t>
      </w:r>
      <w:r w:rsidR="00B82991" w:rsidRPr="005715CC">
        <w:rPr>
          <w:rFonts w:ascii="Calibri" w:hAnsi="Calibri" w:cs="Calibri"/>
        </w:rPr>
        <w:t xml:space="preserve"> </w:t>
      </w:r>
      <w:r w:rsidR="00C8503E" w:rsidRPr="005715CC">
        <w:rPr>
          <w:rFonts w:ascii="Calibri" w:hAnsi="Calibri" w:cs="Calibri"/>
        </w:rPr>
        <w:t xml:space="preserve">also compare </w:t>
      </w:r>
      <w:r w:rsidR="00986068" w:rsidRPr="005715CC">
        <w:rPr>
          <w:rFonts w:ascii="Calibri" w:hAnsi="Calibri" w:cs="Calibri"/>
        </w:rPr>
        <w:t>favorably</w:t>
      </w:r>
      <w:r w:rsidR="00C8503E" w:rsidRPr="005715CC">
        <w:rPr>
          <w:rFonts w:ascii="Calibri" w:hAnsi="Calibri" w:cs="Calibri"/>
        </w:rPr>
        <w:t>.</w:t>
      </w:r>
      <w:r w:rsidR="00B82991" w:rsidRPr="005715CC">
        <w:rPr>
          <w:rStyle w:val="FootnoteReference"/>
          <w:rFonts w:ascii="Calibri" w:hAnsi="Calibri" w:cs="Calibri"/>
        </w:rPr>
        <w:t xml:space="preserve"> </w:t>
      </w:r>
      <w:r w:rsidR="00B82991" w:rsidRPr="005715CC">
        <w:rPr>
          <w:rStyle w:val="FootnoteReference"/>
          <w:rFonts w:ascii="Calibri" w:hAnsi="Calibri" w:cs="Calibri"/>
        </w:rPr>
        <w:footnoteReference w:id="1"/>
      </w:r>
      <w:r w:rsidR="00B82991" w:rsidRPr="005715CC">
        <w:rPr>
          <w:rFonts w:ascii="Calibri" w:hAnsi="Calibri" w:cs="Calibri"/>
        </w:rPr>
        <w:t xml:space="preserve"> </w:t>
      </w:r>
      <w:r w:rsidR="000A4236" w:rsidRPr="005715CC">
        <w:rPr>
          <w:rFonts w:ascii="Calibri" w:hAnsi="Calibri" w:cs="Calibri"/>
        </w:rPr>
        <w:t>While data sources have drastically improved over the years, they are not particularly useful for spatial analysis.</w:t>
      </w:r>
    </w:p>
    <w:p w14:paraId="3DD58D1F" w14:textId="0566EEC8" w:rsidR="002F3DF2" w:rsidRPr="005715CC" w:rsidRDefault="00994671" w:rsidP="005702DC">
      <w:pPr>
        <w:spacing w:line="480" w:lineRule="auto"/>
        <w:jc w:val="both"/>
        <w:rPr>
          <w:rFonts w:ascii="Calibri" w:hAnsi="Calibri" w:cs="Calibri"/>
        </w:rPr>
      </w:pPr>
      <w:r w:rsidRPr="005715CC">
        <w:rPr>
          <w:rFonts w:ascii="Calibri" w:hAnsi="Calibri" w:cs="Calibri"/>
          <w:b/>
        </w:rPr>
        <w:t xml:space="preserve">General </w:t>
      </w:r>
      <w:r w:rsidR="008E5027" w:rsidRPr="005715CC">
        <w:rPr>
          <w:rFonts w:ascii="Calibri" w:hAnsi="Calibri" w:cs="Calibri"/>
          <w:b/>
        </w:rPr>
        <w:t>Trends</w:t>
      </w:r>
      <w:r w:rsidRPr="005715CC">
        <w:rPr>
          <w:rFonts w:ascii="Calibri" w:hAnsi="Calibri" w:cs="Calibri"/>
          <w:b/>
        </w:rPr>
        <w:t xml:space="preserve"> </w:t>
      </w:r>
      <w:r w:rsidR="000A4236" w:rsidRPr="005715CC">
        <w:rPr>
          <w:rFonts w:ascii="Calibri" w:hAnsi="Calibri" w:cs="Calibri"/>
          <w:b/>
        </w:rPr>
        <w:t xml:space="preserve">of </w:t>
      </w:r>
      <w:r w:rsidRPr="005715CC">
        <w:rPr>
          <w:rFonts w:ascii="Calibri" w:hAnsi="Calibri" w:cs="Calibri"/>
          <w:b/>
        </w:rPr>
        <w:t>Wealth Holdings</w:t>
      </w:r>
      <w:r w:rsidR="008E5027" w:rsidRPr="005715CC">
        <w:rPr>
          <w:rFonts w:ascii="Calibri" w:hAnsi="Calibri" w:cs="Calibri"/>
          <w:b/>
        </w:rPr>
        <w:t>.</w:t>
      </w:r>
      <w:r w:rsidR="00E366DB" w:rsidRPr="005715CC">
        <w:rPr>
          <w:rFonts w:ascii="Calibri" w:hAnsi="Calibri" w:cs="Calibri"/>
          <w:b/>
        </w:rPr>
        <w:t xml:space="preserve"> </w:t>
      </w:r>
      <w:r w:rsidR="0000048D" w:rsidRPr="005715CC">
        <w:rPr>
          <w:rFonts w:ascii="Calibri" w:hAnsi="Calibri" w:cs="Calibri"/>
        </w:rPr>
        <w:t>Across countries, wealth inequality has followed a U-shape</w:t>
      </w:r>
      <w:r w:rsidR="00B5128A">
        <w:rPr>
          <w:rFonts w:ascii="Calibri" w:hAnsi="Calibri" w:cs="Calibri"/>
        </w:rPr>
        <w:t xml:space="preserve"> trend—</w:t>
      </w:r>
      <w:r w:rsidR="0000048D" w:rsidRPr="005715CC">
        <w:rPr>
          <w:rFonts w:ascii="Calibri" w:hAnsi="Calibri" w:cs="Calibri"/>
        </w:rPr>
        <w:t>high</w:t>
      </w:r>
      <w:r w:rsidR="000A4236" w:rsidRPr="005715CC">
        <w:rPr>
          <w:rFonts w:ascii="Calibri" w:hAnsi="Calibri" w:cs="Calibri"/>
        </w:rPr>
        <w:t>er</w:t>
      </w:r>
      <w:r w:rsidR="0000048D" w:rsidRPr="005715CC">
        <w:rPr>
          <w:rFonts w:ascii="Calibri" w:hAnsi="Calibri" w:cs="Calibri"/>
        </w:rPr>
        <w:t xml:space="preserve"> in the earlier part of the 1900</w:t>
      </w:r>
      <w:r w:rsidR="00D307E3" w:rsidRPr="005715CC">
        <w:rPr>
          <w:rFonts w:ascii="Calibri" w:hAnsi="Calibri" w:cs="Calibri"/>
        </w:rPr>
        <w:t>s</w:t>
      </w:r>
      <w:r w:rsidR="0000048D" w:rsidRPr="005715CC">
        <w:rPr>
          <w:rFonts w:ascii="Calibri" w:hAnsi="Calibri" w:cs="Calibri"/>
        </w:rPr>
        <w:t xml:space="preserve">, lower in the middle, and recently having </w:t>
      </w:r>
      <w:r w:rsidR="00415988" w:rsidRPr="005715CC">
        <w:rPr>
          <w:rFonts w:ascii="Calibri" w:hAnsi="Calibri" w:cs="Calibri"/>
        </w:rPr>
        <w:t>risen in</w:t>
      </w:r>
      <w:r w:rsidR="00AC41B0" w:rsidRPr="005715CC">
        <w:rPr>
          <w:rFonts w:ascii="Calibri" w:hAnsi="Calibri" w:cs="Calibri"/>
        </w:rPr>
        <w:t xml:space="preserve"> the late 1970s and </w:t>
      </w:r>
      <w:r w:rsidR="000A7B9D" w:rsidRPr="005715CC">
        <w:rPr>
          <w:rFonts w:ascii="Calibri" w:hAnsi="Calibri" w:cs="Calibri"/>
        </w:rPr>
        <w:t xml:space="preserve">early </w:t>
      </w:r>
      <w:r w:rsidR="00AC41B0" w:rsidRPr="005715CC">
        <w:rPr>
          <w:rFonts w:ascii="Calibri" w:hAnsi="Calibri" w:cs="Calibri"/>
        </w:rPr>
        <w:t>1980s.</w:t>
      </w:r>
      <w:r w:rsidR="00D1315E" w:rsidRPr="005715CC">
        <w:rPr>
          <w:rFonts w:ascii="Calibri" w:hAnsi="Calibri" w:cs="Calibri"/>
        </w:rPr>
        <w:t xml:space="preserve"> </w:t>
      </w:r>
      <w:r w:rsidR="0000048D" w:rsidRPr="005715CC">
        <w:rPr>
          <w:rFonts w:ascii="Calibri" w:hAnsi="Calibri" w:cs="Calibri"/>
        </w:rPr>
        <w:t xml:space="preserve">Piketty and Saez argue that wealth inequality fell as a result of </w:t>
      </w:r>
      <w:r w:rsidR="00131FD2" w:rsidRPr="005715CC">
        <w:rPr>
          <w:rFonts w:ascii="Calibri" w:hAnsi="Calibri" w:cs="Calibri"/>
        </w:rPr>
        <w:t xml:space="preserve">the </w:t>
      </w:r>
      <w:r w:rsidR="00644438" w:rsidRPr="005715CC">
        <w:rPr>
          <w:rFonts w:ascii="Calibri" w:hAnsi="Calibri" w:cs="Calibri"/>
        </w:rPr>
        <w:t>devastating asset destruction</w:t>
      </w:r>
      <w:r w:rsidR="00BB192D" w:rsidRPr="005715CC">
        <w:rPr>
          <w:rFonts w:ascii="Calibri" w:hAnsi="Calibri" w:cs="Calibri"/>
        </w:rPr>
        <w:t xml:space="preserve"> and shocks of </w:t>
      </w:r>
      <w:r w:rsidR="00BA3AF9" w:rsidRPr="005715CC">
        <w:rPr>
          <w:rFonts w:ascii="Calibri" w:hAnsi="Calibri" w:cs="Calibri"/>
        </w:rPr>
        <w:t xml:space="preserve">the </w:t>
      </w:r>
      <w:r w:rsidR="00BB192D" w:rsidRPr="005715CC">
        <w:rPr>
          <w:rFonts w:ascii="Calibri" w:hAnsi="Calibri" w:cs="Calibri"/>
        </w:rPr>
        <w:t>world wars,</w:t>
      </w:r>
      <w:r w:rsidR="00644438" w:rsidRPr="005715CC">
        <w:rPr>
          <w:rFonts w:ascii="Calibri" w:hAnsi="Calibri" w:cs="Calibri"/>
        </w:rPr>
        <w:t xml:space="preserve"> </w:t>
      </w:r>
      <w:r w:rsidR="005C47F7" w:rsidRPr="005715CC">
        <w:rPr>
          <w:rFonts w:ascii="Calibri" w:hAnsi="Calibri" w:cs="Calibri"/>
        </w:rPr>
        <w:t>high marginal and</w:t>
      </w:r>
      <w:r w:rsidR="00644438" w:rsidRPr="005715CC">
        <w:rPr>
          <w:rFonts w:ascii="Calibri" w:hAnsi="Calibri" w:cs="Calibri"/>
        </w:rPr>
        <w:t xml:space="preserve"> estate taxes, </w:t>
      </w:r>
      <w:r w:rsidR="00B5128A">
        <w:rPr>
          <w:rFonts w:ascii="Calibri" w:hAnsi="Calibri" w:cs="Calibri"/>
        </w:rPr>
        <w:t>and the</w:t>
      </w:r>
      <w:r w:rsidR="007952BE" w:rsidRPr="005715CC">
        <w:rPr>
          <w:rFonts w:ascii="Calibri" w:hAnsi="Calibri" w:cs="Calibri"/>
        </w:rPr>
        <w:t xml:space="preserve"> large</w:t>
      </w:r>
      <w:r w:rsidR="00644438" w:rsidRPr="005715CC">
        <w:rPr>
          <w:rFonts w:ascii="Calibri" w:hAnsi="Calibri" w:cs="Calibri"/>
        </w:rPr>
        <w:t xml:space="preserve"> skill investments that spurred growth. </w:t>
      </w:r>
      <w:r w:rsidR="00865F10" w:rsidRPr="005715CC">
        <w:rPr>
          <w:rFonts w:ascii="Calibri" w:hAnsi="Calibri" w:cs="Calibri"/>
        </w:rPr>
        <w:t>They attribute recent</w:t>
      </w:r>
      <w:r w:rsidR="00644438" w:rsidRPr="005715CC">
        <w:rPr>
          <w:rFonts w:ascii="Calibri" w:hAnsi="Calibri" w:cs="Calibri"/>
        </w:rPr>
        <w:t xml:space="preserve"> rises to </w:t>
      </w:r>
      <w:r w:rsidR="0087428F" w:rsidRPr="005715CC">
        <w:rPr>
          <w:rFonts w:ascii="Calibri" w:hAnsi="Calibri" w:cs="Calibri"/>
        </w:rPr>
        <w:t xml:space="preserve">rates of return on capital outstripping economic growth (r&gt;g). </w:t>
      </w:r>
      <w:r w:rsidR="00D1315E" w:rsidRPr="005715CC">
        <w:rPr>
          <w:rFonts w:ascii="Calibri" w:hAnsi="Calibri" w:cs="Calibri"/>
        </w:rPr>
        <w:t xml:space="preserve">Between 2001 and 2013, </w:t>
      </w:r>
      <w:r w:rsidR="00B5128A">
        <w:rPr>
          <w:rFonts w:ascii="Calibri" w:hAnsi="Calibri" w:cs="Calibri"/>
        </w:rPr>
        <w:t xml:space="preserve">the </w:t>
      </w:r>
      <w:r w:rsidR="00D1315E" w:rsidRPr="005715CC">
        <w:rPr>
          <w:rFonts w:ascii="Calibri" w:hAnsi="Calibri" w:cs="Calibri"/>
        </w:rPr>
        <w:t xml:space="preserve">wealth shares of the top 1% </w:t>
      </w:r>
      <w:r w:rsidR="00865F10" w:rsidRPr="005715CC">
        <w:rPr>
          <w:rFonts w:ascii="Calibri" w:hAnsi="Calibri" w:cs="Calibri"/>
        </w:rPr>
        <w:t>grew</w:t>
      </w:r>
      <w:r w:rsidR="00D1315E" w:rsidRPr="005715CC">
        <w:rPr>
          <w:rFonts w:ascii="Calibri" w:hAnsi="Calibri" w:cs="Calibri"/>
        </w:rPr>
        <w:t xml:space="preserve"> from 32% to 36%</w:t>
      </w:r>
      <w:r w:rsidR="00BB192D" w:rsidRPr="005715CC">
        <w:rPr>
          <w:rFonts w:ascii="Calibri" w:hAnsi="Calibri" w:cs="Calibri"/>
        </w:rPr>
        <w:t>.</w:t>
      </w:r>
      <w:r w:rsidR="00D1315E" w:rsidRPr="005715CC">
        <w:rPr>
          <w:rFonts w:ascii="Calibri" w:hAnsi="Calibri" w:cs="Calibri"/>
        </w:rPr>
        <w:t xml:space="preserve"> </w:t>
      </w:r>
      <w:r w:rsidR="00B5128A">
        <w:rPr>
          <w:rFonts w:ascii="Calibri" w:hAnsi="Calibri" w:cs="Calibri"/>
        </w:rPr>
        <w:t>Between those year, t</w:t>
      </w:r>
      <w:r w:rsidR="00D1315E" w:rsidRPr="005715CC">
        <w:rPr>
          <w:rFonts w:ascii="Calibri" w:hAnsi="Calibri" w:cs="Calibri"/>
        </w:rPr>
        <w:t>he ratio of</w:t>
      </w:r>
      <w:r w:rsidR="00640AA4" w:rsidRPr="005715CC">
        <w:rPr>
          <w:rFonts w:ascii="Calibri" w:hAnsi="Calibri" w:cs="Calibri"/>
        </w:rPr>
        <w:t xml:space="preserve"> wealth of the top 95</w:t>
      </w:r>
      <w:r w:rsidR="00640AA4" w:rsidRPr="005715CC">
        <w:rPr>
          <w:rFonts w:ascii="Calibri" w:hAnsi="Calibri" w:cs="Calibri"/>
          <w:vertAlign w:val="superscript"/>
        </w:rPr>
        <w:t>th</w:t>
      </w:r>
      <w:r w:rsidR="00640AA4" w:rsidRPr="005715CC">
        <w:rPr>
          <w:rFonts w:ascii="Calibri" w:hAnsi="Calibri" w:cs="Calibri"/>
        </w:rPr>
        <w:t xml:space="preserve"> percentile </w:t>
      </w:r>
      <w:r w:rsidR="00640AA4" w:rsidRPr="005715CC">
        <w:rPr>
          <w:rFonts w:ascii="Calibri" w:hAnsi="Calibri" w:cs="Calibri"/>
        </w:rPr>
        <w:lastRenderedPageBreak/>
        <w:t>to the median grew from 15:1 to 23:1, while the ratio of the median to the 25</w:t>
      </w:r>
      <w:r w:rsidR="00640AA4" w:rsidRPr="005715CC">
        <w:rPr>
          <w:rFonts w:ascii="Calibri" w:hAnsi="Calibri" w:cs="Calibri"/>
          <w:vertAlign w:val="superscript"/>
        </w:rPr>
        <w:t>th</w:t>
      </w:r>
      <w:r w:rsidR="00640AA4" w:rsidRPr="005715CC">
        <w:rPr>
          <w:rFonts w:ascii="Calibri" w:hAnsi="Calibri" w:cs="Calibri"/>
        </w:rPr>
        <w:t xml:space="preserve"> percentile only grew from 7:1 to 9:1</w:t>
      </w:r>
      <w:r w:rsidR="00BB192D" w:rsidRPr="005715CC">
        <w:rPr>
          <w:rFonts w:ascii="Calibri" w:hAnsi="Calibri" w:cs="Calibri"/>
        </w:rPr>
        <w:t xml:space="preserve"> </w:t>
      </w:r>
      <w:r w:rsidR="00BB192D" w:rsidRPr="005715CC">
        <w:rPr>
          <w:rFonts w:ascii="Calibri" w:hAnsi="Calibri" w:cs="Calibri"/>
        </w:rPr>
        <w:fldChar w:fldCharType="begin" w:fldLock="1"/>
      </w:r>
      <w:r w:rsidR="00BB192D" w:rsidRPr="005715CC">
        <w:rPr>
          <w:rFonts w:ascii="Calibri" w:hAnsi="Calibri" w:cs="Calibri"/>
        </w:rPr>
        <w:instrText>ADDIN CSL_CITATION {"citationItems":[{"id":"ITEM-1","itemData":{"DOI":"10.1146/annurev-soc-060116-053331","ISSN":"0360-0572","abstract":"Research on wealth inequality and accumulation and the data upon which it relies have expanded substantially in the twenty-first century. Although the field has experienced rapid growth, conceptual and methodological challenges remain. We begin by discussing two major unresolved methodological concerns facing wealth research: how to address challenges to causal inference posed by wealth's cumulative nature and how to operationalize net worth given its highly skewed distribution. Next, we provide an overview of data sources available for wealth research. To underscore the need for continued empirical attention to net worth, we review trends in wealth levels and inequality and evaluate wealth's distinctiveness as an indicator of social stratification. We then review recent empirical evidence on the effects of wealth on other social outcomes, as well as research on the determinants of wealth. We close with a list of promising avenues for future research on wealth, its causes, and its consequences.","author":[{"dropping-particle":"","family":"Killewald","given":"Alexandra","non-dropping-particle":"","parse-names":false,"suffix":""},{"dropping-particle":"","family":"Pfeffer","given":"Fabian T","non-dropping-particle":"","parse-names":false,"suffix":""},{"dropping-particle":"","family":"Schachner","given":"Jared N","non-dropping-particle":"","parse-names":false,"suffix":""}],"container-title":"Annual Review of Sociology","id":"ITEM-1","issue":"1","issued":{"date-parts":[["2017","7","31"]]},"note":"doi: 10.1146/annurev-soc-060116-053331","page":"379-404","publisher":"Annual Reviews","title":"Wealth Inequality and Accumulation","type":"article-journal","volume":"43"},"uris":["http://www.mendeley.com/documents/?uuid=b114d342-19c5-410d-988a-01ffb60dc439"]}],"mendeley":{"formattedCitation":"(Killewald et al. 2017)","plainTextFormattedCitation":"(Killewald et al. 2017)","previouslyFormattedCitation":"(Killewald et al. 2017)"},"properties":{"noteIndex":0},"schema":"https://github.com/citation-style-language/schema/raw/master/csl-citation.json"}</w:instrText>
      </w:r>
      <w:r w:rsidR="00BB192D" w:rsidRPr="005715CC">
        <w:rPr>
          <w:rFonts w:ascii="Calibri" w:hAnsi="Calibri" w:cs="Calibri"/>
        </w:rPr>
        <w:fldChar w:fldCharType="separate"/>
      </w:r>
      <w:r w:rsidR="00BB192D" w:rsidRPr="005715CC">
        <w:rPr>
          <w:rFonts w:ascii="Calibri" w:hAnsi="Calibri" w:cs="Calibri"/>
          <w:noProof/>
        </w:rPr>
        <w:t>(Killewald et al. 2017)</w:t>
      </w:r>
      <w:r w:rsidR="00BB192D" w:rsidRPr="005715CC">
        <w:rPr>
          <w:rFonts w:ascii="Calibri" w:hAnsi="Calibri" w:cs="Calibri"/>
        </w:rPr>
        <w:fldChar w:fldCharType="end"/>
      </w:r>
      <w:r w:rsidR="00640AA4" w:rsidRPr="005715CC">
        <w:rPr>
          <w:rFonts w:ascii="Calibri" w:hAnsi="Calibri" w:cs="Calibri"/>
        </w:rPr>
        <w:t xml:space="preserve">. In other words, the </w:t>
      </w:r>
      <w:r w:rsidR="00E52F41" w:rsidRPr="005715CC">
        <w:rPr>
          <w:rFonts w:ascii="Calibri" w:hAnsi="Calibri" w:cs="Calibri"/>
        </w:rPr>
        <w:t>top grew much more than the middle.</w:t>
      </w:r>
      <w:r w:rsidR="00D307E3" w:rsidRPr="005715CC">
        <w:rPr>
          <w:rFonts w:ascii="Calibri" w:hAnsi="Calibri" w:cs="Calibri"/>
        </w:rPr>
        <w:t xml:space="preserve"> </w:t>
      </w:r>
      <w:r w:rsidR="00BA3AF9" w:rsidRPr="005715CC">
        <w:rPr>
          <w:rFonts w:ascii="Calibri" w:hAnsi="Calibri" w:cs="Calibri"/>
        </w:rPr>
        <w:t>While m</w:t>
      </w:r>
      <w:r w:rsidR="00E52F41" w:rsidRPr="005715CC">
        <w:rPr>
          <w:rFonts w:ascii="Calibri" w:hAnsi="Calibri" w:cs="Calibri"/>
        </w:rPr>
        <w:t>edian wealth was devastated</w:t>
      </w:r>
      <w:r w:rsidR="00C8503E" w:rsidRPr="005715CC">
        <w:rPr>
          <w:rFonts w:ascii="Calibri" w:hAnsi="Calibri" w:cs="Calibri"/>
        </w:rPr>
        <w:t xml:space="preserve"> from the Great Recession</w:t>
      </w:r>
      <w:r w:rsidR="00B5128A">
        <w:rPr>
          <w:rFonts w:ascii="Calibri" w:hAnsi="Calibri" w:cs="Calibri"/>
        </w:rPr>
        <w:t xml:space="preserve"> of 2007</w:t>
      </w:r>
      <w:r w:rsidR="00C8503E" w:rsidRPr="005715CC">
        <w:rPr>
          <w:rFonts w:ascii="Calibri" w:hAnsi="Calibri" w:cs="Calibri"/>
        </w:rPr>
        <w:t xml:space="preserve">, </w:t>
      </w:r>
      <w:r w:rsidR="00E52F41" w:rsidRPr="005715CC">
        <w:rPr>
          <w:rFonts w:ascii="Calibri" w:hAnsi="Calibri" w:cs="Calibri"/>
        </w:rPr>
        <w:t>mean wealth nearly doubled, suggesting that wealth accumulation for</w:t>
      </w:r>
      <w:r w:rsidR="00667330" w:rsidRPr="005715CC">
        <w:rPr>
          <w:rFonts w:ascii="Calibri" w:hAnsi="Calibri" w:cs="Calibri"/>
        </w:rPr>
        <w:t xml:space="preserve"> </w:t>
      </w:r>
      <w:r w:rsidR="00E52F41" w:rsidRPr="005715CC">
        <w:rPr>
          <w:rFonts w:ascii="Calibri" w:hAnsi="Calibri" w:cs="Calibri"/>
        </w:rPr>
        <w:t xml:space="preserve">those at the top was not </w:t>
      </w:r>
      <w:r w:rsidR="00BD4F0D">
        <w:rPr>
          <w:rFonts w:ascii="Calibri" w:hAnsi="Calibri" w:cs="Calibri"/>
        </w:rPr>
        <w:t xml:space="preserve">as </w:t>
      </w:r>
      <w:r w:rsidR="00E52F41" w:rsidRPr="005715CC">
        <w:rPr>
          <w:rFonts w:ascii="Calibri" w:hAnsi="Calibri" w:cs="Calibri"/>
        </w:rPr>
        <w:t>negatively affected by</w:t>
      </w:r>
      <w:r w:rsidR="00703D85" w:rsidRPr="005715CC">
        <w:rPr>
          <w:rFonts w:ascii="Calibri" w:hAnsi="Calibri" w:cs="Calibri"/>
        </w:rPr>
        <w:t xml:space="preserve"> </w:t>
      </w:r>
      <w:r w:rsidR="00AF3BBE">
        <w:rPr>
          <w:rFonts w:ascii="Calibri" w:hAnsi="Calibri" w:cs="Calibri"/>
        </w:rPr>
        <w:t xml:space="preserve">the </w:t>
      </w:r>
      <w:r w:rsidR="00703D85" w:rsidRPr="005715CC">
        <w:rPr>
          <w:rFonts w:ascii="Calibri" w:hAnsi="Calibri" w:cs="Calibri"/>
        </w:rPr>
        <w:t>crash</w:t>
      </w:r>
      <w:r w:rsidR="00BA3AF9" w:rsidRPr="005715CC">
        <w:rPr>
          <w:rFonts w:ascii="Calibri" w:hAnsi="Calibri" w:cs="Calibri"/>
        </w:rPr>
        <w:t>.</w:t>
      </w:r>
      <w:r w:rsidR="005715CC" w:rsidRPr="005715CC">
        <w:rPr>
          <w:rFonts w:ascii="Calibri" w:hAnsi="Calibri" w:cs="Calibri"/>
        </w:rPr>
        <w:t xml:space="preserve"> </w:t>
      </w:r>
      <w:r w:rsidR="004C4BD0" w:rsidRPr="005715CC">
        <w:rPr>
          <w:rFonts w:ascii="Calibri" w:hAnsi="Calibri" w:cs="Calibri"/>
        </w:rPr>
        <w:t>This is most like due to the fact that those with more wealth have more diverse means of accumulating wealth</w:t>
      </w:r>
      <w:r w:rsidR="00AF3BBE">
        <w:rPr>
          <w:rFonts w:ascii="Calibri" w:hAnsi="Calibri" w:cs="Calibri"/>
        </w:rPr>
        <w:t>—</w:t>
      </w:r>
      <w:r w:rsidR="004C4BD0" w:rsidRPr="005715CC">
        <w:rPr>
          <w:rFonts w:ascii="Calibri" w:hAnsi="Calibri" w:cs="Calibri"/>
        </w:rPr>
        <w:t>i.e., stocks, bonds, other real estate investments</w:t>
      </w:r>
      <w:r w:rsidR="00AF3BBE">
        <w:rPr>
          <w:rFonts w:ascii="Calibri" w:hAnsi="Calibri" w:cs="Calibri"/>
        </w:rPr>
        <w:t>—</w:t>
      </w:r>
      <w:r w:rsidR="004C4BD0" w:rsidRPr="005715CC">
        <w:rPr>
          <w:rFonts w:ascii="Calibri" w:hAnsi="Calibri" w:cs="Calibri"/>
        </w:rPr>
        <w:t xml:space="preserve">and are therefore more insulated from negative economic shocks. </w:t>
      </w:r>
      <w:r w:rsidR="002F3DF2" w:rsidRPr="005715CC">
        <w:rPr>
          <w:rFonts w:ascii="Calibri" w:hAnsi="Calibri" w:cs="Calibri"/>
        </w:rPr>
        <w:t>In terms of negative wealth</w:t>
      </w:r>
      <w:r w:rsidR="00AF3BBE">
        <w:rPr>
          <w:rFonts w:ascii="Calibri" w:hAnsi="Calibri" w:cs="Calibri"/>
        </w:rPr>
        <w:t xml:space="preserve">, </w:t>
      </w:r>
      <w:r w:rsidR="002F3DF2" w:rsidRPr="005715CC">
        <w:rPr>
          <w:rFonts w:ascii="Calibri" w:hAnsi="Calibri" w:cs="Calibri"/>
        </w:rPr>
        <w:t xml:space="preserve">the median debt </w:t>
      </w:r>
      <w:r w:rsidR="00925BE2" w:rsidRPr="005715CC">
        <w:rPr>
          <w:rFonts w:ascii="Calibri" w:hAnsi="Calibri" w:cs="Calibri"/>
        </w:rPr>
        <w:t xml:space="preserve">more than </w:t>
      </w:r>
      <w:r w:rsidR="002F3DF2" w:rsidRPr="005715CC">
        <w:rPr>
          <w:rFonts w:ascii="Calibri" w:hAnsi="Calibri" w:cs="Calibri"/>
        </w:rPr>
        <w:t xml:space="preserve">doubled from $27,800 </w:t>
      </w:r>
      <w:r w:rsidR="00925BE2" w:rsidRPr="005715CC">
        <w:rPr>
          <w:rFonts w:ascii="Calibri" w:hAnsi="Calibri" w:cs="Calibri"/>
        </w:rPr>
        <w:t>in 1992 to $60,400 in 2013.</w:t>
      </w:r>
    </w:p>
    <w:p w14:paraId="35A6E9C2" w14:textId="7AADFD9A" w:rsidR="005715CC" w:rsidRDefault="005715CC" w:rsidP="005715CC">
      <w:pPr>
        <w:spacing w:line="480" w:lineRule="auto"/>
        <w:jc w:val="both"/>
        <w:rPr>
          <w:rFonts w:ascii="Calibri" w:hAnsi="Calibri" w:cs="Calibri"/>
        </w:rPr>
      </w:pPr>
      <w:r w:rsidRPr="005715CC">
        <w:rPr>
          <w:rFonts w:ascii="Calibri" w:hAnsi="Calibri" w:cs="Calibri"/>
          <w:b/>
        </w:rPr>
        <w:t xml:space="preserve">Racial Disparities </w:t>
      </w:r>
      <w:r w:rsidR="00645AFA">
        <w:rPr>
          <w:rFonts w:ascii="Calibri" w:hAnsi="Calibri" w:cs="Calibri"/>
          <w:b/>
        </w:rPr>
        <w:t>and</w:t>
      </w:r>
      <w:r w:rsidRPr="005715CC">
        <w:rPr>
          <w:rFonts w:ascii="Calibri" w:hAnsi="Calibri" w:cs="Calibri"/>
          <w:b/>
        </w:rPr>
        <w:t xml:space="preserve"> Wealth.</w:t>
      </w:r>
      <w:r>
        <w:rPr>
          <w:rFonts w:ascii="Calibri" w:hAnsi="Calibri" w:cs="Calibri"/>
        </w:rPr>
        <w:t xml:space="preserve"> </w:t>
      </w:r>
      <w:r w:rsidRPr="005715CC">
        <w:rPr>
          <w:rFonts w:ascii="Calibri" w:hAnsi="Calibri" w:cs="Calibri"/>
        </w:rPr>
        <w:t xml:space="preserve">The big takeaway from Oliver and Shapiro’s </w:t>
      </w:r>
      <w:r w:rsidRPr="005715CC">
        <w:rPr>
          <w:rFonts w:ascii="Calibri" w:hAnsi="Calibri" w:cs="Calibri"/>
          <w:i/>
        </w:rPr>
        <w:t>Black Wealth/White Wealth</w:t>
      </w:r>
      <w:r w:rsidRPr="005715CC">
        <w:rPr>
          <w:rFonts w:ascii="Calibri" w:hAnsi="Calibri" w:cs="Calibri"/>
        </w:rPr>
        <w:t xml:space="preserve"> is that despite the opportunities opened for blacks from the civil rights movement,</w:t>
      </w:r>
      <w:r>
        <w:rPr>
          <w:rFonts w:ascii="Calibri" w:hAnsi="Calibri" w:cs="Calibri"/>
        </w:rPr>
        <w:t xml:space="preserve"> </w:t>
      </w:r>
      <w:r w:rsidRPr="005715CC">
        <w:rPr>
          <w:rFonts w:ascii="Calibri" w:hAnsi="Calibri" w:cs="Calibri"/>
        </w:rPr>
        <w:t>there persists an abnormally large inequality gap between whites and blacks.</w:t>
      </w:r>
      <w:r>
        <w:rPr>
          <w:rFonts w:ascii="Calibri" w:hAnsi="Calibri" w:cs="Calibri"/>
        </w:rPr>
        <w:t xml:space="preserve"> They argue that s</w:t>
      </w:r>
      <w:r w:rsidRPr="005715CC">
        <w:rPr>
          <w:rFonts w:ascii="Calibri" w:hAnsi="Calibri" w:cs="Calibri"/>
        </w:rPr>
        <w:t>ince whites do not save a higher rate than blacks, the reasons for this gap are structural</w:t>
      </w:r>
      <w:r>
        <w:rPr>
          <w:rFonts w:ascii="Calibri" w:hAnsi="Calibri" w:cs="Calibri"/>
        </w:rPr>
        <w:t xml:space="preserve">. </w:t>
      </w:r>
      <w:r w:rsidRPr="005715CC">
        <w:rPr>
          <w:rFonts w:ascii="Calibri" w:hAnsi="Calibri" w:cs="Calibri"/>
        </w:rPr>
        <w:t>Whites have better access to mortgages and loans</w:t>
      </w:r>
      <w:r>
        <w:rPr>
          <w:rFonts w:ascii="Calibri" w:hAnsi="Calibri" w:cs="Calibri"/>
        </w:rPr>
        <w:t xml:space="preserve"> to buy homes which </w:t>
      </w:r>
      <w:r w:rsidRPr="005715CC">
        <w:rPr>
          <w:rFonts w:ascii="Calibri" w:hAnsi="Calibri" w:cs="Calibri"/>
        </w:rPr>
        <w:t>appreciate</w:t>
      </w:r>
      <w:r>
        <w:rPr>
          <w:rFonts w:ascii="Calibri" w:hAnsi="Calibri" w:cs="Calibri"/>
        </w:rPr>
        <w:t xml:space="preserve"> at higher rates</w:t>
      </w:r>
      <w:r w:rsidR="00AF3BBE">
        <w:rPr>
          <w:rFonts w:ascii="Calibri" w:hAnsi="Calibri" w:cs="Calibri"/>
        </w:rPr>
        <w:t>, which</w:t>
      </w:r>
      <w:r>
        <w:rPr>
          <w:rFonts w:ascii="Calibri" w:hAnsi="Calibri" w:cs="Calibri"/>
        </w:rPr>
        <w:t xml:space="preserve"> allows them to leave </w:t>
      </w:r>
      <w:r w:rsidR="00607855">
        <w:rPr>
          <w:rFonts w:ascii="Calibri" w:hAnsi="Calibri" w:cs="Calibri"/>
        </w:rPr>
        <w:t xml:space="preserve">more wealth to </w:t>
      </w:r>
      <w:r>
        <w:rPr>
          <w:rFonts w:ascii="Calibri" w:hAnsi="Calibri" w:cs="Calibri"/>
        </w:rPr>
        <w:t>their child</w:t>
      </w:r>
      <w:r w:rsidR="00AF3BBE">
        <w:rPr>
          <w:rFonts w:ascii="Calibri" w:hAnsi="Calibri" w:cs="Calibri"/>
        </w:rPr>
        <w:t xml:space="preserve">. </w:t>
      </w:r>
      <w:r>
        <w:rPr>
          <w:rFonts w:ascii="Calibri" w:hAnsi="Calibri" w:cs="Calibri"/>
        </w:rPr>
        <w:t xml:space="preserve">In essence, their work shows how inequality of outcome leads to inequity of opportunity for the next generation. Another important takeaway is that while policies help to alleviate wealth and income inequality, they can also help to exacerbate it. They argue that the </w:t>
      </w:r>
      <w:r w:rsidRPr="005715CC">
        <w:rPr>
          <w:rFonts w:ascii="Calibri" w:hAnsi="Calibri" w:cs="Calibri"/>
        </w:rPr>
        <w:t xml:space="preserve">mortgage interest tax deduction </w:t>
      </w:r>
      <w:r>
        <w:rPr>
          <w:rFonts w:ascii="Calibri" w:hAnsi="Calibri" w:cs="Calibri"/>
        </w:rPr>
        <w:t xml:space="preserve">is more likely to help </w:t>
      </w:r>
      <w:r w:rsidRPr="005715CC">
        <w:rPr>
          <w:rFonts w:ascii="Calibri" w:hAnsi="Calibri" w:cs="Calibri"/>
        </w:rPr>
        <w:t>white</w:t>
      </w:r>
      <w:r>
        <w:rPr>
          <w:rFonts w:ascii="Calibri" w:hAnsi="Calibri" w:cs="Calibri"/>
        </w:rPr>
        <w:t xml:space="preserve"> homeowners and allow them to build wealth, </w:t>
      </w:r>
      <w:r w:rsidRPr="005715CC">
        <w:rPr>
          <w:rFonts w:ascii="Calibri" w:hAnsi="Calibri" w:cs="Calibri"/>
        </w:rPr>
        <w:t xml:space="preserve">poor enforcement of anti-discrimination laws </w:t>
      </w:r>
      <w:r>
        <w:rPr>
          <w:rFonts w:ascii="Calibri" w:hAnsi="Calibri" w:cs="Calibri"/>
        </w:rPr>
        <w:t xml:space="preserve">has led to unequal housing appreciation rates and segregation, and </w:t>
      </w:r>
      <w:r w:rsidRPr="005715CC">
        <w:rPr>
          <w:rFonts w:ascii="Calibri" w:hAnsi="Calibri" w:cs="Calibri"/>
        </w:rPr>
        <w:t>high</w:t>
      </w:r>
      <w:r w:rsidR="00645AFA">
        <w:rPr>
          <w:rFonts w:ascii="Calibri" w:hAnsi="Calibri" w:cs="Calibri"/>
        </w:rPr>
        <w:t>-</w:t>
      </w:r>
      <w:r w:rsidRPr="005715CC">
        <w:rPr>
          <w:rFonts w:ascii="Calibri" w:hAnsi="Calibri" w:cs="Calibri"/>
        </w:rPr>
        <w:t>income taxes</w:t>
      </w:r>
      <w:r>
        <w:rPr>
          <w:rFonts w:ascii="Calibri" w:hAnsi="Calibri" w:cs="Calibri"/>
        </w:rPr>
        <w:t xml:space="preserve"> are more likely to tax the incomes of blacks while whites will enjoy lower </w:t>
      </w:r>
      <w:r w:rsidRPr="005715CC">
        <w:rPr>
          <w:rFonts w:ascii="Calibri" w:hAnsi="Calibri" w:cs="Calibri"/>
        </w:rPr>
        <w:t>capital gains and inheritance taxes</w:t>
      </w:r>
      <w:r>
        <w:rPr>
          <w:rFonts w:ascii="Calibri" w:hAnsi="Calibri" w:cs="Calibri"/>
        </w:rPr>
        <w:t xml:space="preserve"> on their wealth transfers. </w:t>
      </w:r>
    </w:p>
    <w:p w14:paraId="7C30FAFB" w14:textId="524D5D97" w:rsidR="00645AFA" w:rsidRPr="0067260A" w:rsidRDefault="00AF3BBE" w:rsidP="005715CC">
      <w:pPr>
        <w:spacing w:line="480" w:lineRule="auto"/>
        <w:jc w:val="both"/>
        <w:rPr>
          <w:rFonts w:ascii="Calibri" w:hAnsi="Calibri" w:cs="Calibri"/>
          <w:color w:val="111111"/>
        </w:rPr>
      </w:pPr>
      <w:r>
        <w:rPr>
          <w:rFonts w:ascii="Calibri" w:hAnsi="Calibri" w:cs="Calibri"/>
          <w:b/>
        </w:rPr>
        <w:lastRenderedPageBreak/>
        <w:t>Vulnerable Populations</w:t>
      </w:r>
      <w:r w:rsidR="00645AFA">
        <w:rPr>
          <w:rFonts w:ascii="Calibri" w:hAnsi="Calibri" w:cs="Calibri"/>
          <w:b/>
        </w:rPr>
        <w:t xml:space="preserve"> and </w:t>
      </w:r>
      <w:r w:rsidR="00645AFA" w:rsidRPr="00645AFA">
        <w:rPr>
          <w:rFonts w:ascii="Calibri" w:hAnsi="Calibri" w:cs="Calibri"/>
          <w:b/>
        </w:rPr>
        <w:t>Wealth.</w:t>
      </w:r>
      <w:r w:rsidR="00645AFA">
        <w:rPr>
          <w:rFonts w:ascii="Calibri" w:hAnsi="Calibri" w:cs="Calibri"/>
        </w:rPr>
        <w:t xml:space="preserve"> </w:t>
      </w:r>
      <w:r w:rsidR="00645AFA" w:rsidRPr="005715CC">
        <w:rPr>
          <w:rFonts w:ascii="Calibri" w:hAnsi="Calibri" w:cs="Calibri"/>
        </w:rPr>
        <w:t>Gibson</w:t>
      </w:r>
      <w:r w:rsidR="00645AFA" w:rsidRPr="005715CC">
        <w:rPr>
          <w:rFonts w:ascii="Calibri" w:hAnsi="Calibri" w:cs="Calibri"/>
          <w:b/>
        </w:rPr>
        <w:t>-</w:t>
      </w:r>
      <w:r w:rsidR="00645AFA" w:rsidRPr="005715CC">
        <w:rPr>
          <w:rFonts w:ascii="Calibri" w:hAnsi="Calibri" w:cs="Calibri"/>
        </w:rPr>
        <w:t xml:space="preserve">Davis and </w:t>
      </w:r>
      <w:proofErr w:type="spellStart"/>
      <w:r w:rsidR="00645AFA" w:rsidRPr="005715CC">
        <w:rPr>
          <w:rFonts w:ascii="Calibri" w:hAnsi="Calibri" w:cs="Calibri"/>
        </w:rPr>
        <w:t>Percheski</w:t>
      </w:r>
      <w:proofErr w:type="spellEnd"/>
      <w:r w:rsidR="00645AFA" w:rsidRPr="005715CC">
        <w:rPr>
          <w:rFonts w:ascii="Calibri" w:hAnsi="Calibri" w:cs="Calibri"/>
        </w:rPr>
        <w:t xml:space="preserve"> </w:t>
      </w:r>
      <w:r w:rsidR="00645AFA" w:rsidRPr="005715CC">
        <w:rPr>
          <w:rFonts w:ascii="Calibri" w:hAnsi="Calibri" w:cs="Calibri"/>
        </w:rPr>
        <w:fldChar w:fldCharType="begin" w:fldLock="1"/>
      </w:r>
      <w:r w:rsidR="00645AFA" w:rsidRPr="005715CC">
        <w:rPr>
          <w:rFonts w:ascii="Calibri" w:hAnsi="Calibri" w:cs="Calibri"/>
        </w:rPr>
        <w:instrText>ADDIN CSL_CITATION {"citationItems":[{"id":"ITEM-1","itemData":{"DOI":"10.1007/s13524-018-0676-5","ISSN":"1533-7790","abstract":"Life cycle theory predicts that elderly households have higher levels of wealth than households with children, but these wealth gaps are likely dynamic, responding to changes in labor market conditions, patterns of debt accumulation, and the overall economic context. Using Survey of Consumer Finances data from 1989 through 2013, we compare wealth levels between and within the two groups that make up America’s dependents: the elderly and child households (households with a resident child aged 18 or younger). Over the observed period, the absolute wealth gap between elderly and child households in the United States increased substantially, and diverging trends in wealth accumulation exacerbated preexisting between-group disparities. Widening gaps were particularly pronounced among the least-wealthy elderly and child households. Differential demographic change in marital status and racial composition by subgroup do not explain the widening gap. We also find increasing wealth inequality within child households and the rise of a “parental 1 %.” During a time of overall economic growth, the elderly have been able to maintain or increase their wealth, whereas many of the least-wealthy child households saw precipitous declines. Our findings suggest that many child households may lack sufficient assets to promote the successful flourishing of the next generation.","author":[{"dropping-particle":"","family":"Gibson-Davis","given":"Christina M","non-dropping-particle":"","parse-names":false,"suffix":""},{"dropping-particle":"","family":"Percheski","given":"Christine","non-dropping-particle":"","parse-names":false,"suffix":""}],"container-title":"Demography","id":"ITEM-1","issue":"3","issued":{"date-parts":[["2018"]]},"page":"1009-1032","title":"Children and the Elderly: Wealth Inequality Among America’s Dependents","type":"article-journal","volume":"55"},"suppress-author":1,"uris":["http://www.mendeley.com/documents/?uuid=d9107b78-5228-44e0-a56c-87255ae03829"]}],"mendeley":{"formattedCitation":"(2018)","plainTextFormattedCitation":"(2018)","previouslyFormattedCitation":"(2018)"},"properties":{"noteIndex":0},"schema":"https://github.com/citation-style-language/schema/raw/master/csl-citation.json"}</w:instrText>
      </w:r>
      <w:r w:rsidR="00645AFA" w:rsidRPr="005715CC">
        <w:rPr>
          <w:rFonts w:ascii="Calibri" w:hAnsi="Calibri" w:cs="Calibri"/>
        </w:rPr>
        <w:fldChar w:fldCharType="separate"/>
      </w:r>
      <w:r w:rsidR="00645AFA" w:rsidRPr="005715CC">
        <w:rPr>
          <w:rFonts w:ascii="Calibri" w:hAnsi="Calibri" w:cs="Calibri"/>
          <w:noProof/>
        </w:rPr>
        <w:t>(2018)</w:t>
      </w:r>
      <w:r w:rsidR="00645AFA" w:rsidRPr="005715CC">
        <w:rPr>
          <w:rFonts w:ascii="Calibri" w:hAnsi="Calibri" w:cs="Calibri"/>
        </w:rPr>
        <w:fldChar w:fldCharType="end"/>
      </w:r>
      <w:r w:rsidR="00645AFA" w:rsidRPr="005715CC">
        <w:rPr>
          <w:rFonts w:ascii="Calibri" w:hAnsi="Calibri" w:cs="Calibri"/>
        </w:rPr>
        <w:t xml:space="preserve"> explore the wealth inequality between the US’s most (potentially) vulnerable populations—elderly and households with children. Although the </w:t>
      </w:r>
      <w:r w:rsidR="00645AFA" w:rsidRPr="001A1954">
        <w:rPr>
          <w:rFonts w:ascii="Calibri" w:hAnsi="Calibri" w:cs="Calibri"/>
        </w:rPr>
        <w:t xml:space="preserve">life-cycle model predicts </w:t>
      </w:r>
      <w:r w:rsidR="00645AFA" w:rsidRPr="005715CC">
        <w:rPr>
          <w:rFonts w:ascii="Calibri" w:hAnsi="Calibri" w:cs="Calibri"/>
        </w:rPr>
        <w:t xml:space="preserve">that </w:t>
      </w:r>
      <w:r w:rsidR="00645AFA" w:rsidRPr="001A1954">
        <w:rPr>
          <w:rFonts w:ascii="Calibri" w:hAnsi="Calibri" w:cs="Calibri"/>
        </w:rPr>
        <w:t xml:space="preserve">elderly households </w:t>
      </w:r>
      <w:r>
        <w:rPr>
          <w:rFonts w:ascii="Calibri" w:hAnsi="Calibri" w:cs="Calibri"/>
        </w:rPr>
        <w:t>should</w:t>
      </w:r>
      <w:r w:rsidR="00645AFA" w:rsidRPr="005715CC">
        <w:rPr>
          <w:rFonts w:ascii="Calibri" w:hAnsi="Calibri" w:cs="Calibri"/>
        </w:rPr>
        <w:t xml:space="preserve"> have </w:t>
      </w:r>
      <w:r w:rsidR="00645AFA" w:rsidRPr="001A1954">
        <w:rPr>
          <w:rFonts w:ascii="Calibri" w:hAnsi="Calibri" w:cs="Calibri"/>
        </w:rPr>
        <w:t xml:space="preserve">more wealth than households with children, </w:t>
      </w:r>
      <w:r w:rsidR="00645AFA" w:rsidRPr="005715CC">
        <w:rPr>
          <w:rFonts w:ascii="Calibri" w:hAnsi="Calibri" w:cs="Calibri"/>
        </w:rPr>
        <w:t xml:space="preserve">it </w:t>
      </w:r>
      <w:r>
        <w:rPr>
          <w:rFonts w:ascii="Calibri" w:hAnsi="Calibri" w:cs="Calibri"/>
        </w:rPr>
        <w:t>should</w:t>
      </w:r>
      <w:r w:rsidR="00645AFA" w:rsidRPr="005715CC">
        <w:rPr>
          <w:rFonts w:ascii="Calibri" w:hAnsi="Calibri" w:cs="Calibri"/>
        </w:rPr>
        <w:t xml:space="preserve"> follow that the</w:t>
      </w:r>
      <w:r w:rsidR="00645AFA" w:rsidRPr="001A1954">
        <w:rPr>
          <w:rFonts w:ascii="Calibri" w:hAnsi="Calibri" w:cs="Calibri"/>
        </w:rPr>
        <w:t xml:space="preserve"> relationship</w:t>
      </w:r>
      <w:r w:rsidR="00645AFA" w:rsidRPr="005715CC">
        <w:rPr>
          <w:rFonts w:ascii="Calibri" w:hAnsi="Calibri" w:cs="Calibri"/>
        </w:rPr>
        <w:t xml:space="preserve"> would be constant. They find </w:t>
      </w:r>
      <w:r w:rsidR="00645AFA" w:rsidRPr="001A1954">
        <w:rPr>
          <w:rFonts w:ascii="Calibri" w:hAnsi="Calibri" w:cs="Calibri"/>
        </w:rPr>
        <w:t xml:space="preserve">there to be not only widening between group wealth inequality, but </w:t>
      </w:r>
      <w:r w:rsidR="00645AFA" w:rsidRPr="005715CC">
        <w:rPr>
          <w:rFonts w:ascii="Calibri" w:hAnsi="Calibri" w:cs="Calibri"/>
        </w:rPr>
        <w:t xml:space="preserve">also a widening gap </w:t>
      </w:r>
      <w:r w:rsidR="00645AFA" w:rsidRPr="001A1954">
        <w:rPr>
          <w:rFonts w:ascii="Calibri" w:hAnsi="Calibri" w:cs="Calibri"/>
        </w:rPr>
        <w:t>within child household inequality, both of which are not explained by demographic change alone</w:t>
      </w:r>
      <w:r w:rsidR="00645AFA" w:rsidRPr="005715CC">
        <w:rPr>
          <w:rFonts w:ascii="Calibri" w:hAnsi="Calibri" w:cs="Calibri"/>
        </w:rPr>
        <w:t>. Most striking was that the gains for child households were concentrated in</w:t>
      </w:r>
      <w:r w:rsidR="00307E68">
        <w:rPr>
          <w:rFonts w:ascii="Calibri" w:hAnsi="Calibri" w:cs="Calibri"/>
        </w:rPr>
        <w:t xml:space="preserve"> the</w:t>
      </w:r>
      <w:r w:rsidR="00645AFA" w:rsidRPr="005715CC">
        <w:rPr>
          <w:rFonts w:ascii="Calibri" w:hAnsi="Calibri" w:cs="Calibri"/>
        </w:rPr>
        <w:t xml:space="preserve"> top 10% </w:t>
      </w:r>
      <w:r w:rsidR="00E552D6">
        <w:rPr>
          <w:rFonts w:ascii="Calibri" w:hAnsi="Calibri" w:cs="Calibri"/>
        </w:rPr>
        <w:t>and</w:t>
      </w:r>
      <w:r w:rsidR="00645AFA" w:rsidRPr="005715CC">
        <w:rPr>
          <w:rFonts w:ascii="Calibri" w:hAnsi="Calibri" w:cs="Calibri"/>
        </w:rPr>
        <w:t xml:space="preserve"> losses </w:t>
      </w:r>
      <w:r w:rsidR="00E552D6">
        <w:rPr>
          <w:rFonts w:ascii="Calibri" w:hAnsi="Calibri" w:cs="Calibri"/>
        </w:rPr>
        <w:t xml:space="preserve">concentrated </w:t>
      </w:r>
      <w:r w:rsidR="00645AFA" w:rsidRPr="005715CC">
        <w:rPr>
          <w:rFonts w:ascii="Calibri" w:hAnsi="Calibri" w:cs="Calibri"/>
        </w:rPr>
        <w:t xml:space="preserve">in bottom 50%. The </w:t>
      </w:r>
      <w:r w:rsidR="00645AFA" w:rsidRPr="005715CC">
        <w:rPr>
          <w:rFonts w:ascii="Calibri" w:hAnsi="Calibri" w:cs="Calibri"/>
          <w:color w:val="131313"/>
        </w:rPr>
        <w:t>top</w:t>
      </w:r>
      <w:r w:rsidR="00645AFA" w:rsidRPr="00D60CE5">
        <w:rPr>
          <w:rFonts w:ascii="Calibri" w:hAnsi="Calibri" w:cs="Calibri"/>
          <w:color w:val="131313"/>
        </w:rPr>
        <w:t xml:space="preserve"> 1% </w:t>
      </w:r>
      <w:r w:rsidR="00645AFA" w:rsidRPr="005715CC">
        <w:rPr>
          <w:rFonts w:ascii="Calibri" w:hAnsi="Calibri" w:cs="Calibri"/>
          <w:color w:val="131313"/>
        </w:rPr>
        <w:t xml:space="preserve">of child household accounted for </w:t>
      </w:r>
      <w:r w:rsidR="00645AFA" w:rsidRPr="00D60CE5">
        <w:rPr>
          <w:rFonts w:ascii="Calibri" w:hAnsi="Calibri" w:cs="Calibri"/>
          <w:color w:val="131313"/>
        </w:rPr>
        <w:t>42% of all wealth among</w:t>
      </w:r>
      <w:r w:rsidR="00645AFA" w:rsidRPr="005715CC">
        <w:rPr>
          <w:rFonts w:ascii="Calibri" w:hAnsi="Calibri" w:cs="Calibri"/>
          <w:color w:val="131313"/>
        </w:rPr>
        <w:t xml:space="preserve"> those households, holding </w:t>
      </w:r>
      <w:r w:rsidR="00645AFA" w:rsidRPr="00D60CE5">
        <w:rPr>
          <w:rFonts w:ascii="Calibri" w:hAnsi="Calibri" w:cs="Calibri"/>
          <w:color w:val="131313"/>
        </w:rPr>
        <w:t>approximately $2.5 million in wealth for each child</w:t>
      </w:r>
      <w:r w:rsidR="00645AFA" w:rsidRPr="005715CC">
        <w:rPr>
          <w:rFonts w:ascii="Calibri" w:hAnsi="Calibri" w:cs="Calibri"/>
          <w:color w:val="131313"/>
        </w:rPr>
        <w:t xml:space="preserve"> in 2013. </w:t>
      </w:r>
      <w:r w:rsidR="00645AFA" w:rsidRPr="005715CC">
        <w:rPr>
          <w:rFonts w:ascii="Calibri" w:hAnsi="Calibri" w:cs="Calibri"/>
        </w:rPr>
        <w:t>Gibson</w:t>
      </w:r>
      <w:r w:rsidR="00645AFA" w:rsidRPr="005715CC">
        <w:rPr>
          <w:rFonts w:ascii="Calibri" w:hAnsi="Calibri" w:cs="Calibri"/>
          <w:b/>
        </w:rPr>
        <w:t>-</w:t>
      </w:r>
      <w:r w:rsidR="00645AFA" w:rsidRPr="005715CC">
        <w:rPr>
          <w:rFonts w:ascii="Calibri" w:hAnsi="Calibri" w:cs="Calibri"/>
        </w:rPr>
        <w:t xml:space="preserve">Davis and </w:t>
      </w:r>
      <w:proofErr w:type="spellStart"/>
      <w:r w:rsidR="00645AFA" w:rsidRPr="005715CC">
        <w:rPr>
          <w:rFonts w:ascii="Calibri" w:hAnsi="Calibri" w:cs="Calibri"/>
        </w:rPr>
        <w:t>Percheski</w:t>
      </w:r>
      <w:proofErr w:type="spellEnd"/>
      <w:r w:rsidR="00645AFA" w:rsidRPr="005715CC">
        <w:rPr>
          <w:rFonts w:ascii="Calibri" w:hAnsi="Calibri" w:cs="Calibri"/>
        </w:rPr>
        <w:t xml:space="preserve"> argue that this was due in large part to divergent trends among groups as well as asset and debt composition: the elderly saw increase</w:t>
      </w:r>
      <w:r w:rsidR="00FB4F66">
        <w:rPr>
          <w:rFonts w:ascii="Calibri" w:hAnsi="Calibri" w:cs="Calibri"/>
        </w:rPr>
        <w:t xml:space="preserve">s in </w:t>
      </w:r>
      <w:r w:rsidR="00645AFA" w:rsidRPr="005715CC">
        <w:rPr>
          <w:rFonts w:ascii="Calibri" w:hAnsi="Calibri" w:cs="Calibri"/>
        </w:rPr>
        <w:t>asset</w:t>
      </w:r>
      <w:r w:rsidR="00FB4F66">
        <w:rPr>
          <w:rFonts w:ascii="Calibri" w:hAnsi="Calibri" w:cs="Calibri"/>
        </w:rPr>
        <w:t xml:space="preserve"> </w:t>
      </w:r>
      <w:r w:rsidR="00E552D6">
        <w:rPr>
          <w:rFonts w:ascii="Calibri" w:hAnsi="Calibri" w:cs="Calibri"/>
        </w:rPr>
        <w:t>appreciation</w:t>
      </w:r>
      <w:r w:rsidR="00645AFA" w:rsidRPr="005715CC">
        <w:rPr>
          <w:rFonts w:ascii="Calibri" w:hAnsi="Calibri" w:cs="Calibri"/>
        </w:rPr>
        <w:t>, homeownership rates, home equity returns, and</w:t>
      </w:r>
      <w:r w:rsidR="002E472A">
        <w:rPr>
          <w:rFonts w:ascii="Calibri" w:hAnsi="Calibri" w:cs="Calibri"/>
        </w:rPr>
        <w:t xml:space="preserve"> held</w:t>
      </w:r>
      <w:r w:rsidR="00645AFA" w:rsidRPr="005715CC">
        <w:rPr>
          <w:rFonts w:ascii="Calibri" w:hAnsi="Calibri" w:cs="Calibri"/>
        </w:rPr>
        <w:t xml:space="preserve"> lower debts, while child households saw no change in homeownership, decreases in equity, less stable incomes, and large increases in debt, especially educational debt. </w:t>
      </w:r>
      <w:r w:rsidR="0067260A">
        <w:rPr>
          <w:rFonts w:ascii="Calibri" w:hAnsi="Calibri" w:cs="Calibri"/>
          <w:color w:val="111111"/>
        </w:rPr>
        <w:t>This</w:t>
      </w:r>
      <w:r w:rsidR="00645AFA" w:rsidRPr="005715CC">
        <w:rPr>
          <w:rFonts w:ascii="Calibri" w:hAnsi="Calibri" w:cs="Calibri"/>
          <w:color w:val="111111"/>
        </w:rPr>
        <w:t xml:space="preserve"> research </w:t>
      </w:r>
      <w:r w:rsidR="0067260A">
        <w:rPr>
          <w:rFonts w:ascii="Calibri" w:hAnsi="Calibri" w:cs="Calibri"/>
          <w:color w:val="111111"/>
        </w:rPr>
        <w:t>convincingly demonstrates</w:t>
      </w:r>
      <w:r w:rsidR="00645AFA" w:rsidRPr="005715CC">
        <w:rPr>
          <w:rFonts w:ascii="Calibri" w:hAnsi="Calibri" w:cs="Calibri"/>
          <w:color w:val="111111"/>
        </w:rPr>
        <w:t xml:space="preserve"> that </w:t>
      </w:r>
      <w:r w:rsidR="0067260A">
        <w:rPr>
          <w:rFonts w:ascii="Calibri" w:hAnsi="Calibri" w:cs="Calibri"/>
          <w:color w:val="111111"/>
        </w:rPr>
        <w:t xml:space="preserve">the </w:t>
      </w:r>
      <w:r w:rsidR="0067260A" w:rsidRPr="005715CC">
        <w:rPr>
          <w:rFonts w:ascii="Calibri" w:hAnsi="Calibri" w:cs="Calibri"/>
          <w:color w:val="111111"/>
        </w:rPr>
        <w:t xml:space="preserve">outcomes of today affect not only the opportunities of tomorrow’s generation, but </w:t>
      </w:r>
      <w:r w:rsidR="0067260A">
        <w:rPr>
          <w:rFonts w:ascii="Calibri" w:hAnsi="Calibri" w:cs="Calibri"/>
          <w:color w:val="111111"/>
        </w:rPr>
        <w:t>also t</w:t>
      </w:r>
      <w:r w:rsidR="0067260A" w:rsidRPr="005715CC">
        <w:rPr>
          <w:rFonts w:ascii="Calibri" w:hAnsi="Calibri" w:cs="Calibri"/>
          <w:color w:val="111111"/>
        </w:rPr>
        <w:t>heir outcomes</w:t>
      </w:r>
      <w:r w:rsidR="00BC4A9A">
        <w:rPr>
          <w:rFonts w:ascii="Calibri" w:hAnsi="Calibri" w:cs="Calibri"/>
          <w:color w:val="111111"/>
        </w:rPr>
        <w:t xml:space="preserve">. As a result, current </w:t>
      </w:r>
      <w:r w:rsidR="00645AFA" w:rsidRPr="005715CC">
        <w:rPr>
          <w:rFonts w:ascii="Calibri" w:hAnsi="Calibri" w:cs="Calibri"/>
          <w:color w:val="111111"/>
        </w:rPr>
        <w:t>child households lack sufficient assets to promote the successful flourishing of the next generation.</w:t>
      </w:r>
    </w:p>
    <w:p w14:paraId="564EBD02" w14:textId="6DBFEEB7" w:rsidR="00090AAA" w:rsidRDefault="005715CC" w:rsidP="005715CC">
      <w:pPr>
        <w:spacing w:line="480" w:lineRule="auto"/>
        <w:jc w:val="both"/>
        <w:rPr>
          <w:rFonts w:ascii="Calibri" w:hAnsi="Calibri" w:cs="Calibri"/>
        </w:rPr>
      </w:pPr>
      <w:r w:rsidRPr="005715CC">
        <w:rPr>
          <w:rFonts w:ascii="Calibri" w:hAnsi="Calibri" w:cs="Calibri"/>
          <w:b/>
        </w:rPr>
        <w:t xml:space="preserve">Homeownership and Wealth. </w:t>
      </w:r>
      <w:r w:rsidR="00497A9A">
        <w:rPr>
          <w:rFonts w:ascii="Calibri" w:hAnsi="Calibri" w:cs="Calibri"/>
          <w:color w:val="000000" w:themeColor="text1"/>
        </w:rPr>
        <w:t xml:space="preserve">Since </w:t>
      </w:r>
      <w:r w:rsidR="00B82991" w:rsidRPr="005715CC">
        <w:rPr>
          <w:rFonts w:ascii="Calibri" w:hAnsi="Calibri" w:cs="Calibri"/>
          <w:color w:val="000000" w:themeColor="text1"/>
        </w:rPr>
        <w:t>home</w:t>
      </w:r>
      <w:r w:rsidR="00925BE2" w:rsidRPr="005715CC">
        <w:rPr>
          <w:rFonts w:ascii="Calibri" w:hAnsi="Calibri" w:cs="Calibri"/>
          <w:color w:val="000000" w:themeColor="text1"/>
        </w:rPr>
        <w:t xml:space="preserve">ownership is the largest </w:t>
      </w:r>
      <w:r w:rsidR="00B82991" w:rsidRPr="005715CC">
        <w:rPr>
          <w:rFonts w:ascii="Calibri" w:hAnsi="Calibri" w:cs="Calibri"/>
          <w:color w:val="000000" w:themeColor="text1"/>
        </w:rPr>
        <w:t>component of</w:t>
      </w:r>
      <w:r w:rsidR="00925BE2" w:rsidRPr="005715CC">
        <w:rPr>
          <w:rFonts w:ascii="Calibri" w:hAnsi="Calibri" w:cs="Calibri"/>
          <w:color w:val="000000" w:themeColor="text1"/>
        </w:rPr>
        <w:t xml:space="preserve"> wealth</w:t>
      </w:r>
      <w:r w:rsidR="00497A9A">
        <w:rPr>
          <w:rFonts w:ascii="Calibri" w:hAnsi="Calibri" w:cs="Calibri"/>
          <w:color w:val="000000" w:themeColor="text1"/>
        </w:rPr>
        <w:t xml:space="preserve">, especially for low-income households, there is a large literature about the </w:t>
      </w:r>
      <w:r w:rsidR="00714380" w:rsidRPr="005715CC">
        <w:rPr>
          <w:rFonts w:ascii="Calibri" w:hAnsi="Calibri" w:cs="Calibri"/>
        </w:rPr>
        <w:t xml:space="preserve">benefits </w:t>
      </w:r>
      <w:r w:rsidR="003E1E57" w:rsidRPr="005715CC">
        <w:rPr>
          <w:rFonts w:ascii="Calibri" w:hAnsi="Calibri" w:cs="Calibri"/>
        </w:rPr>
        <w:t>of</w:t>
      </w:r>
      <w:r w:rsidR="00714380" w:rsidRPr="005715CC">
        <w:rPr>
          <w:rFonts w:ascii="Calibri" w:hAnsi="Calibri" w:cs="Calibri"/>
        </w:rPr>
        <w:t xml:space="preserve"> homeownership: </w:t>
      </w:r>
      <w:r w:rsidR="009E5A8D" w:rsidRPr="005715CC">
        <w:rPr>
          <w:rFonts w:ascii="Calibri" w:hAnsi="Calibri" w:cs="Calibri"/>
        </w:rPr>
        <w:t>it</w:t>
      </w:r>
      <w:r w:rsidR="00650E4B" w:rsidRPr="005715CC">
        <w:rPr>
          <w:rFonts w:ascii="Calibri" w:hAnsi="Calibri" w:cs="Calibri"/>
        </w:rPr>
        <w:t xml:space="preserve"> is a</w:t>
      </w:r>
      <w:r w:rsidR="00714380" w:rsidRPr="005715CC">
        <w:rPr>
          <w:rFonts w:ascii="Calibri" w:hAnsi="Calibri" w:cs="Calibri"/>
        </w:rPr>
        <w:t xml:space="preserve"> highly leveraged asset whose value outstrips inflation, forced saving, </w:t>
      </w:r>
      <w:r w:rsidR="00650E4B" w:rsidRPr="005715CC">
        <w:rPr>
          <w:rFonts w:ascii="Calibri" w:hAnsi="Calibri" w:cs="Calibri"/>
        </w:rPr>
        <w:t xml:space="preserve">elicits outsized </w:t>
      </w:r>
      <w:r w:rsidR="00714380" w:rsidRPr="005715CC">
        <w:rPr>
          <w:rFonts w:ascii="Calibri" w:hAnsi="Calibri" w:cs="Calibri"/>
        </w:rPr>
        <w:t>tax deductions, and hedge</w:t>
      </w:r>
      <w:r w:rsidR="00650E4B" w:rsidRPr="005715CC">
        <w:rPr>
          <w:rFonts w:ascii="Calibri" w:hAnsi="Calibri" w:cs="Calibri"/>
        </w:rPr>
        <w:t xml:space="preserve">s </w:t>
      </w:r>
      <w:r w:rsidR="00714380" w:rsidRPr="005715CC">
        <w:rPr>
          <w:rFonts w:ascii="Calibri" w:hAnsi="Calibri" w:cs="Calibri"/>
        </w:rPr>
        <w:t>against future rent inflation. However, s</w:t>
      </w:r>
      <w:r w:rsidR="00095579" w:rsidRPr="005715CC">
        <w:rPr>
          <w:rFonts w:ascii="Calibri" w:hAnsi="Calibri" w:cs="Calibri"/>
        </w:rPr>
        <w:t xml:space="preserve">urprisingly, </w:t>
      </w:r>
      <w:r w:rsidR="00095579" w:rsidRPr="005715CC">
        <w:rPr>
          <w:rFonts w:ascii="Calibri" w:hAnsi="Calibri" w:cs="Calibri"/>
        </w:rPr>
        <w:lastRenderedPageBreak/>
        <w:t>there is very little research about the effect of homeownership on wealth</w:t>
      </w:r>
      <w:r w:rsidR="00714380" w:rsidRPr="005715CC">
        <w:rPr>
          <w:rFonts w:ascii="Calibri" w:hAnsi="Calibri" w:cs="Calibri"/>
        </w:rPr>
        <w:t xml:space="preserve"> accumulation.</w:t>
      </w:r>
      <w:r w:rsidR="003A79DF" w:rsidRPr="005715CC">
        <w:rPr>
          <w:rFonts w:ascii="Calibri" w:hAnsi="Calibri" w:cs="Calibri"/>
        </w:rPr>
        <w:t xml:space="preserve"> </w:t>
      </w:r>
      <w:r w:rsidR="00B778BB" w:rsidRPr="005715CC">
        <w:rPr>
          <w:rFonts w:ascii="Calibri" w:hAnsi="Calibri" w:cs="Calibri"/>
        </w:rPr>
        <w:t>Three</w:t>
      </w:r>
      <w:r w:rsidR="00C04C07" w:rsidRPr="005715CC">
        <w:rPr>
          <w:rFonts w:ascii="Calibri" w:hAnsi="Calibri" w:cs="Calibri"/>
        </w:rPr>
        <w:t xml:space="preserve"> </w:t>
      </w:r>
      <w:r w:rsidR="00E86298" w:rsidRPr="005715CC">
        <w:rPr>
          <w:rFonts w:ascii="Calibri" w:hAnsi="Calibri" w:cs="Calibri"/>
        </w:rPr>
        <w:t xml:space="preserve">recent </w:t>
      </w:r>
      <w:r w:rsidR="00C04C07" w:rsidRPr="005715CC">
        <w:rPr>
          <w:rFonts w:ascii="Calibri" w:hAnsi="Calibri" w:cs="Calibri"/>
        </w:rPr>
        <w:t>studies quantify th</w:t>
      </w:r>
      <w:r w:rsidR="00197AB5" w:rsidRPr="005715CC">
        <w:rPr>
          <w:rFonts w:ascii="Calibri" w:hAnsi="Calibri" w:cs="Calibri"/>
        </w:rPr>
        <w:t xml:space="preserve">at </w:t>
      </w:r>
      <w:r w:rsidR="00C04C07" w:rsidRPr="005715CC">
        <w:rPr>
          <w:rFonts w:ascii="Calibri" w:hAnsi="Calibri" w:cs="Calibri"/>
        </w:rPr>
        <w:t>effec</w:t>
      </w:r>
      <w:r w:rsidR="00197AB5" w:rsidRPr="005715CC">
        <w:rPr>
          <w:rFonts w:ascii="Calibri" w:hAnsi="Calibri" w:cs="Calibri"/>
        </w:rPr>
        <w:t>t</w:t>
      </w:r>
      <w:r w:rsidR="00C04C07" w:rsidRPr="005715CC">
        <w:rPr>
          <w:rFonts w:ascii="Calibri" w:hAnsi="Calibri" w:cs="Calibri"/>
        </w:rPr>
        <w:t xml:space="preserve">. </w:t>
      </w:r>
      <w:r w:rsidR="00060787" w:rsidRPr="005715CC">
        <w:rPr>
          <w:rFonts w:ascii="Calibri" w:hAnsi="Calibri" w:cs="Calibri"/>
        </w:rPr>
        <w:t>Di et. al.</w:t>
      </w:r>
      <w:r w:rsidR="00497A9A">
        <w:rPr>
          <w:rFonts w:ascii="Calibri" w:hAnsi="Calibri" w:cs="Calibri"/>
        </w:rPr>
        <w:fldChar w:fldCharType="begin" w:fldLock="1"/>
      </w:r>
      <w:r w:rsidR="00497A9A">
        <w:rPr>
          <w:rFonts w:ascii="Calibri" w:hAnsi="Calibri" w:cs="Calibri"/>
        </w:rPr>
        <w:instrText>ADDIN CSL_CITATION {"citationItems":[{"id":"ITEM-1","itemData":{"DOI":"10.1016/j.jhe.2007.08.001","ISSN":"1051-1377","abstract":"Despite the public’s faith in homeownership as a vehicle for wealth creation, there are surprisingly few empirical studies of the independent impact of homeownership and its duration on household wealth accumulation. This paper provides the first empirical evidence that homeownership, after controlling for other drivers of wealth accumulation, is positively and significantly associated with wealth accumulation over time. Using the Panel Survey of Income Dynamics, it examines the influence of housing tenure choices between 1989 and 2001 on household net wealth levels in 2001 after controlling for initial wealth in 1989, location, income, education, and other family and personal characteristics that might influence the rate of wealth accumulation. Importantly, the models used also control for the tendency of households to accumulate wealth between 1984 and 1989 (five years prior to the studied period). This approach is used to address the possibility that an unobserved variable—the propensity to save or accumulate wealth—may be associated with both the probability and duration of homeownership and the rate of wealth accumulation. All else equal, those who owned homes and owned for longer periods of time had significantly higher household net wealth by 2001. These results are compelling because house price appreciation over the period was near its long-run average while stock gains were above and real rent increases below their long-run averages. Hence, the findings are suggestive of a positive influence of ownership over long periods on net wealth, even during a period when alternative investments produced higher than normal returns and rents grew slowly. This is especially important because the overwhelmingly majority of households do not sell their homes shortly after buying them. In our sample, those who became owners typically owned for 7 years. Furthermore, most households that bought during a period of declining real home values in the early 1990s continued to own their homes for at least eight years and came out well ahead of those who did not own.","author":[{"dropping-particle":"","family":"Di","given":"Zhu Xiao","non-dropping-particle":"","parse-names":false,"suffix":""},{"dropping-particle":"","family":"Belsky","given":"Eric","non-dropping-particle":"","parse-names":false,"suffix":""},{"dropping-particle":"","family":"Liu","given":"Xiaodong","non-dropping-particle":"","parse-names":false,"suffix":""}],"container-title":"Journal of Housing Economics","id":"ITEM-1","issue":"3","issued":{"date-parts":[["2007"]]},"page":"274-290","title":"Do Homeowners Achieve More Household Wealth in the Long Run?","type":"article-journal","volume":"16"},"suppress-author":1,"uris":["http://www.mendeley.com/documents/?uuid=fd314bc9-f8a4-4d78-8329-75645279f4b5"]}],"mendeley":{"formattedCitation":"(2007)","plainTextFormattedCitation":"(2007)","previouslyFormattedCitation":"(Di, Belsky, and Liu 2007)"},"properties":{"noteIndex":0},"schema":"https://github.com/citation-style-language/schema/raw/master/csl-citation.json"}</w:instrText>
      </w:r>
      <w:r w:rsidR="00497A9A">
        <w:rPr>
          <w:rFonts w:ascii="Calibri" w:hAnsi="Calibri" w:cs="Calibri"/>
        </w:rPr>
        <w:fldChar w:fldCharType="separate"/>
      </w:r>
      <w:r w:rsidR="00497A9A" w:rsidRPr="00497A9A">
        <w:rPr>
          <w:rFonts w:ascii="Calibri" w:hAnsi="Calibri" w:cs="Calibri"/>
          <w:noProof/>
        </w:rPr>
        <w:t>(2007)</w:t>
      </w:r>
      <w:r w:rsidR="00497A9A">
        <w:rPr>
          <w:rFonts w:ascii="Calibri" w:hAnsi="Calibri" w:cs="Calibri"/>
        </w:rPr>
        <w:fldChar w:fldCharType="end"/>
      </w:r>
      <w:r w:rsidR="00060787" w:rsidRPr="005715CC">
        <w:rPr>
          <w:rFonts w:ascii="Calibri" w:hAnsi="Calibri" w:cs="Calibri"/>
        </w:rPr>
        <w:t xml:space="preserve"> </w:t>
      </w:r>
      <w:r w:rsidR="00CA41FD">
        <w:rPr>
          <w:rFonts w:ascii="Calibri" w:hAnsi="Calibri" w:cs="Calibri"/>
        </w:rPr>
        <w:t>found</w:t>
      </w:r>
      <w:r w:rsidR="00060787" w:rsidRPr="005715CC">
        <w:rPr>
          <w:rFonts w:ascii="Calibri" w:hAnsi="Calibri" w:cs="Calibri"/>
        </w:rPr>
        <w:t xml:space="preserve"> that</w:t>
      </w:r>
      <w:r w:rsidR="00D90E1F">
        <w:rPr>
          <w:rFonts w:ascii="Calibri" w:hAnsi="Calibri" w:cs="Calibri"/>
        </w:rPr>
        <w:t xml:space="preserve"> the </w:t>
      </w:r>
      <w:r w:rsidR="001D5E80" w:rsidRPr="005715CC">
        <w:rPr>
          <w:rFonts w:ascii="Calibri" w:hAnsi="Calibri" w:cs="Calibri"/>
        </w:rPr>
        <w:t>average</w:t>
      </w:r>
      <w:r w:rsidR="00D90E1F">
        <w:rPr>
          <w:rFonts w:ascii="Calibri" w:hAnsi="Calibri" w:cs="Calibri"/>
        </w:rPr>
        <w:t xml:space="preserve"> </w:t>
      </w:r>
      <w:r w:rsidR="002B12C8" w:rsidRPr="005715CC">
        <w:rPr>
          <w:rFonts w:ascii="Calibri" w:hAnsi="Calibri" w:cs="Calibri"/>
        </w:rPr>
        <w:t>net wealth of</w:t>
      </w:r>
      <w:r w:rsidR="00D90E1F">
        <w:rPr>
          <w:rFonts w:ascii="Calibri" w:hAnsi="Calibri" w:cs="Calibri"/>
        </w:rPr>
        <w:t xml:space="preserve"> owners was </w:t>
      </w:r>
      <w:r w:rsidR="001D5E80" w:rsidRPr="005715CC">
        <w:rPr>
          <w:rFonts w:ascii="Calibri" w:hAnsi="Calibri" w:cs="Calibri"/>
        </w:rPr>
        <w:t>$12,000 more than their renting counterparts</w:t>
      </w:r>
      <w:r w:rsidR="003F3C29" w:rsidRPr="005715CC">
        <w:rPr>
          <w:rFonts w:ascii="Calibri" w:hAnsi="Calibri" w:cs="Calibri"/>
        </w:rPr>
        <w:t>,</w:t>
      </w:r>
      <w:r w:rsidR="007E2CE6" w:rsidRPr="005715CC">
        <w:rPr>
          <w:rFonts w:ascii="Calibri" w:hAnsi="Calibri" w:cs="Calibri"/>
        </w:rPr>
        <w:t xml:space="preserve"> controlling for wealth at the beginning of the study period and</w:t>
      </w:r>
      <w:r w:rsidR="003F3C29" w:rsidRPr="005715CC">
        <w:rPr>
          <w:rFonts w:ascii="Calibri" w:hAnsi="Calibri" w:cs="Calibri"/>
        </w:rPr>
        <w:t xml:space="preserve"> </w:t>
      </w:r>
      <w:r w:rsidR="007E2CE6" w:rsidRPr="005715CC">
        <w:rPr>
          <w:rFonts w:ascii="Calibri" w:hAnsi="Calibri" w:cs="Calibri"/>
        </w:rPr>
        <w:t>other factors.</w:t>
      </w:r>
      <w:r w:rsidR="00FE2649" w:rsidRPr="005715CC">
        <w:rPr>
          <w:rFonts w:ascii="Calibri" w:hAnsi="Calibri" w:cs="Calibri"/>
        </w:rPr>
        <w:t xml:space="preserve"> Moreover, </w:t>
      </w:r>
      <w:r w:rsidR="007E2CE6" w:rsidRPr="005715CC">
        <w:rPr>
          <w:rFonts w:ascii="Calibri" w:hAnsi="Calibri" w:cs="Calibri"/>
        </w:rPr>
        <w:t xml:space="preserve">they </w:t>
      </w:r>
      <w:r w:rsidR="005A005C">
        <w:rPr>
          <w:rFonts w:ascii="Calibri" w:hAnsi="Calibri" w:cs="Calibri"/>
        </w:rPr>
        <w:t>found</w:t>
      </w:r>
      <w:r w:rsidR="007E2CE6" w:rsidRPr="005715CC">
        <w:rPr>
          <w:rFonts w:ascii="Calibri" w:hAnsi="Calibri" w:cs="Calibri"/>
        </w:rPr>
        <w:t xml:space="preserve"> that non-Hispanic blacks</w:t>
      </w:r>
      <w:r w:rsidR="002B12C8" w:rsidRPr="005715CC">
        <w:rPr>
          <w:rFonts w:ascii="Calibri" w:hAnsi="Calibri" w:cs="Calibri"/>
        </w:rPr>
        <w:t xml:space="preserve"> ended the study period with less wealth</w:t>
      </w:r>
      <w:r w:rsidR="00BB51E7" w:rsidRPr="005715CC">
        <w:rPr>
          <w:rFonts w:ascii="Calibri" w:hAnsi="Calibri" w:cs="Calibri"/>
        </w:rPr>
        <w:t xml:space="preserve">, that wealth generation from </w:t>
      </w:r>
      <w:r w:rsidR="002B12C8" w:rsidRPr="005715CC">
        <w:rPr>
          <w:rFonts w:ascii="Calibri" w:hAnsi="Calibri" w:cs="Calibri"/>
        </w:rPr>
        <w:t>homeowners</w:t>
      </w:r>
      <w:r w:rsidR="00BB51E7" w:rsidRPr="005715CC">
        <w:rPr>
          <w:rFonts w:ascii="Calibri" w:hAnsi="Calibri" w:cs="Calibri"/>
        </w:rPr>
        <w:t xml:space="preserve">hip was non-linear, and that homeownership helps to build non-housing wealth. </w:t>
      </w:r>
    </w:p>
    <w:p w14:paraId="7A4DBEF5" w14:textId="7532441F" w:rsidR="00F40E3F" w:rsidRPr="005715CC" w:rsidRDefault="00987069" w:rsidP="00090AAA">
      <w:pPr>
        <w:spacing w:line="480" w:lineRule="auto"/>
        <w:ind w:firstLine="720"/>
        <w:jc w:val="both"/>
        <w:rPr>
          <w:rFonts w:ascii="Calibri" w:hAnsi="Calibri" w:cs="Calibri"/>
        </w:rPr>
      </w:pPr>
      <w:proofErr w:type="spellStart"/>
      <w:r w:rsidRPr="005715CC">
        <w:rPr>
          <w:rFonts w:ascii="Calibri" w:eastAsiaTheme="minorHAnsi" w:hAnsi="Calibri" w:cs="Calibri"/>
          <w:color w:val="000000"/>
        </w:rPr>
        <w:t>Killewald</w:t>
      </w:r>
      <w:proofErr w:type="spellEnd"/>
      <w:r w:rsidRPr="005715CC">
        <w:rPr>
          <w:rFonts w:ascii="Calibri" w:eastAsiaTheme="minorHAnsi" w:hAnsi="Calibri" w:cs="Calibri"/>
          <w:color w:val="000000"/>
        </w:rPr>
        <w:t xml:space="preserve"> and Bryan</w:t>
      </w:r>
      <w:r w:rsidR="00BB192D" w:rsidRPr="005715CC">
        <w:rPr>
          <w:rFonts w:ascii="Calibri" w:eastAsiaTheme="minorHAnsi" w:hAnsi="Calibri" w:cs="Calibri"/>
          <w:color w:val="000000"/>
        </w:rPr>
        <w:t xml:space="preserve"> </w:t>
      </w:r>
      <w:r w:rsidR="00BB192D" w:rsidRPr="005715CC">
        <w:rPr>
          <w:rFonts w:ascii="Calibri" w:eastAsiaTheme="minorHAnsi" w:hAnsi="Calibri" w:cs="Calibri"/>
          <w:color w:val="000000"/>
        </w:rPr>
        <w:fldChar w:fldCharType="begin" w:fldLock="1"/>
      </w:r>
      <w:r w:rsidR="00497A9A">
        <w:rPr>
          <w:rFonts w:ascii="Calibri" w:eastAsiaTheme="minorHAnsi" w:hAnsi="Calibri" w:cs="Calibri"/>
          <w:color w:val="000000"/>
        </w:rPr>
        <w:instrText>ADDIN CSL_CITATION {"citationItems":[{"id":"ITEM-1","itemData":{"DOI":"10.7758/RSF.2016.2.6.06","ISSN":"2377-8253","abstract":"Abstract: Estimating the lifetime wealth consequences of homeownership is complicated by ongoing events, such as divorce or inheritance, that may shape both homeownership decisions and later-life wealth. We argue that prior research that has not accounted for these dynamic selection processes has overstated the causal effect of homeownership on wealth. Using NLSY79 data and marginal structural models, we find that each additional year of homeownership increases midlife wealth in 2008 by about $6,800, more than 25 percent less than estimates from models that do not account for dynamic selection. Hispanic and African American wealth benefits from each homeownership year are 62 percent and 48 percent as large as those of whites, respectively. Homeownership remains wealth-enhancing in 2012, but shows smaller returns. Our results confirm homeownership’s role in wealth accumulation and that variation in both homeownership rates and the wealth benefits of homeownership contribute to racial and ethnic disparities in midlife wealth holdings.","author":[{"dropping-particle":"","family":"Killewald","given":"Alexandra","non-dropping-particle":"","parse-names":false,"suffix":""},{"dropping-particle":"","family":"Bryan","given":"Brielle","non-dropping-particle":"","parse-names":false,"suffix":""}],"container-title":"The Russell Sage Foundation Journal of the Social Sciences","id":"ITEM-1","issue":"6","issued":{"date-parts":[["2016"]]},"page":"110-128","title":"Does Your Home Make You Wealthy?","type":"article-journal","volume":"2"},"suppress-author":1,"uris":["http://www.mendeley.com/documents/?uuid=3432ebdf-4af6-4cff-8ddf-3b62878a4708"]}],"mendeley":{"formattedCitation":"(2016)","plainTextFormattedCitation":"(2016)","previouslyFormattedCitation":"(2016)"},"properties":{"noteIndex":0},"schema":"https://github.com/citation-style-language/schema/raw/master/csl-citation.json"}</w:instrText>
      </w:r>
      <w:r w:rsidR="00BB192D" w:rsidRPr="005715CC">
        <w:rPr>
          <w:rFonts w:ascii="Calibri" w:eastAsiaTheme="minorHAnsi" w:hAnsi="Calibri" w:cs="Calibri"/>
          <w:color w:val="000000"/>
        </w:rPr>
        <w:fldChar w:fldCharType="separate"/>
      </w:r>
      <w:r w:rsidR="00BB192D" w:rsidRPr="005715CC">
        <w:rPr>
          <w:rFonts w:ascii="Calibri" w:eastAsiaTheme="minorHAnsi" w:hAnsi="Calibri" w:cs="Calibri"/>
          <w:noProof/>
          <w:color w:val="000000"/>
        </w:rPr>
        <w:t>(2016)</w:t>
      </w:r>
      <w:r w:rsidR="00BB192D" w:rsidRPr="005715CC">
        <w:rPr>
          <w:rFonts w:ascii="Calibri" w:eastAsiaTheme="minorHAnsi" w:hAnsi="Calibri" w:cs="Calibri"/>
          <w:color w:val="000000"/>
        </w:rPr>
        <w:fldChar w:fldCharType="end"/>
      </w:r>
      <w:r w:rsidRPr="005715CC">
        <w:rPr>
          <w:rFonts w:ascii="Calibri" w:hAnsi="Calibri" w:cs="Calibri"/>
        </w:rPr>
        <w:t xml:space="preserve"> build on their work</w:t>
      </w:r>
      <w:r w:rsidR="000A29EB" w:rsidRPr="005715CC">
        <w:rPr>
          <w:rFonts w:ascii="Calibri" w:hAnsi="Calibri" w:cs="Calibri"/>
        </w:rPr>
        <w:t xml:space="preserve"> </w:t>
      </w:r>
      <w:r w:rsidR="007C5DAC" w:rsidRPr="005715CC">
        <w:rPr>
          <w:rFonts w:ascii="Calibri" w:hAnsi="Calibri" w:cs="Calibri"/>
        </w:rPr>
        <w:t>using</w:t>
      </w:r>
      <w:r w:rsidRPr="005715CC">
        <w:rPr>
          <w:rFonts w:ascii="Calibri" w:hAnsi="Calibri" w:cs="Calibri"/>
        </w:rPr>
        <w:t xml:space="preserve"> marginal structural models</w:t>
      </w:r>
      <w:r w:rsidR="000A29EB" w:rsidRPr="005715CC">
        <w:rPr>
          <w:rFonts w:ascii="Calibri" w:hAnsi="Calibri" w:cs="Calibri"/>
        </w:rPr>
        <w:t xml:space="preserve">, which they argue </w:t>
      </w:r>
      <w:r w:rsidR="00D1433E" w:rsidRPr="005715CC">
        <w:rPr>
          <w:rFonts w:ascii="Calibri" w:hAnsi="Calibri" w:cs="Calibri"/>
        </w:rPr>
        <w:t>do not control away the benefits of homeownership</w:t>
      </w:r>
      <w:r w:rsidR="006867E0" w:rsidRPr="005715CC">
        <w:rPr>
          <w:rFonts w:ascii="Calibri" w:hAnsi="Calibri" w:cs="Calibri"/>
        </w:rPr>
        <w:t xml:space="preserve"> on other pathways, like marriage</w:t>
      </w:r>
      <w:r w:rsidR="005A005C">
        <w:rPr>
          <w:rFonts w:ascii="Calibri" w:hAnsi="Calibri" w:cs="Calibri"/>
        </w:rPr>
        <w:t xml:space="preserve">, and </w:t>
      </w:r>
      <w:r w:rsidR="00497A9A">
        <w:rPr>
          <w:rFonts w:ascii="Calibri" w:hAnsi="Calibri" w:cs="Calibri"/>
        </w:rPr>
        <w:t>argue that their</w:t>
      </w:r>
      <w:r w:rsidR="003F3C29" w:rsidRPr="005715CC">
        <w:rPr>
          <w:rFonts w:ascii="Calibri" w:hAnsi="Calibri" w:cs="Calibri"/>
        </w:rPr>
        <w:t xml:space="preserve"> results are lower but more </w:t>
      </w:r>
      <w:r w:rsidR="005702DC" w:rsidRPr="005715CC">
        <w:rPr>
          <w:rFonts w:ascii="Calibri" w:hAnsi="Calibri" w:cs="Calibri"/>
        </w:rPr>
        <w:t>reliable. They find an average median gain of $6,787 per year of homeownership towards net worth that varies by race: $7,602 for whites, $4,684 for Hispanics</w:t>
      </w:r>
      <w:r w:rsidR="005A005C">
        <w:rPr>
          <w:rFonts w:ascii="Calibri" w:hAnsi="Calibri" w:cs="Calibri"/>
        </w:rPr>
        <w:t>,</w:t>
      </w:r>
      <w:r w:rsidR="005702DC" w:rsidRPr="005715CC">
        <w:rPr>
          <w:rFonts w:ascii="Calibri" w:hAnsi="Calibri" w:cs="Calibri"/>
        </w:rPr>
        <w:t xml:space="preserve"> and $3,645 for blacks.</w:t>
      </w:r>
      <w:r w:rsidR="006462E1" w:rsidRPr="005715CC">
        <w:rPr>
          <w:rFonts w:ascii="Calibri" w:hAnsi="Calibri" w:cs="Calibri"/>
        </w:rPr>
        <w:t xml:space="preserve"> </w:t>
      </w:r>
      <w:r w:rsidR="0018349D" w:rsidRPr="005715CC">
        <w:rPr>
          <w:rFonts w:ascii="Calibri" w:hAnsi="Calibri" w:cs="Calibri"/>
        </w:rPr>
        <w:t xml:space="preserve">Tuner and </w:t>
      </w:r>
      <w:proofErr w:type="spellStart"/>
      <w:r w:rsidR="0018349D" w:rsidRPr="005715CC">
        <w:rPr>
          <w:rFonts w:ascii="Calibri" w:hAnsi="Calibri" w:cs="Calibri"/>
        </w:rPr>
        <w:t>Leau</w:t>
      </w:r>
      <w:proofErr w:type="spellEnd"/>
      <w:r w:rsidR="0018349D" w:rsidRPr="005715CC">
        <w:rPr>
          <w:rFonts w:ascii="Calibri" w:hAnsi="Calibri" w:cs="Calibri"/>
        </w:rPr>
        <w:t xml:space="preserve"> find higher average gains</w:t>
      </w:r>
      <w:r w:rsidR="0091240F" w:rsidRPr="005715CC">
        <w:rPr>
          <w:rFonts w:ascii="Calibri" w:hAnsi="Calibri" w:cs="Calibri"/>
        </w:rPr>
        <w:t xml:space="preserve"> (about $13,700)</w:t>
      </w:r>
      <w:r w:rsidR="0018349D" w:rsidRPr="005715CC">
        <w:rPr>
          <w:rFonts w:ascii="Calibri" w:hAnsi="Calibri" w:cs="Calibri"/>
        </w:rPr>
        <w:t xml:space="preserve"> using </w:t>
      </w:r>
      <w:r w:rsidR="0091240F" w:rsidRPr="005715CC">
        <w:rPr>
          <w:rFonts w:ascii="Calibri" w:hAnsi="Calibri" w:cs="Calibri"/>
        </w:rPr>
        <w:t>less sophisticated</w:t>
      </w:r>
      <w:r w:rsidR="0018349D" w:rsidRPr="005715CC">
        <w:rPr>
          <w:rFonts w:ascii="Calibri" w:hAnsi="Calibri" w:cs="Calibri"/>
        </w:rPr>
        <w:t xml:space="preserve"> </w:t>
      </w:r>
      <w:r w:rsidR="0091240F" w:rsidRPr="005715CC">
        <w:rPr>
          <w:rFonts w:ascii="Calibri" w:hAnsi="Calibri" w:cs="Calibri"/>
        </w:rPr>
        <w:t>methods but</w:t>
      </w:r>
      <w:r w:rsidR="0018349D" w:rsidRPr="005715CC">
        <w:rPr>
          <w:rFonts w:ascii="Calibri" w:hAnsi="Calibri" w:cs="Calibri"/>
        </w:rPr>
        <w:t xml:space="preserve"> </w:t>
      </w:r>
      <w:r w:rsidR="0091240F" w:rsidRPr="005715CC">
        <w:rPr>
          <w:rFonts w:ascii="Calibri" w:hAnsi="Calibri" w:cs="Calibri"/>
        </w:rPr>
        <w:t xml:space="preserve">show that the impact on wealth accumulation varies by income status. Contrary to the literature suggesting low correlations between </w:t>
      </w:r>
      <w:r w:rsidR="00121DFB" w:rsidRPr="005715CC">
        <w:rPr>
          <w:rFonts w:ascii="Calibri" w:hAnsi="Calibri" w:cs="Calibri"/>
        </w:rPr>
        <w:t xml:space="preserve">income and wealth, they find that </w:t>
      </w:r>
      <w:r w:rsidR="0018349D" w:rsidRPr="005715CC">
        <w:rPr>
          <w:rFonts w:ascii="Calibri" w:hAnsi="Calibri" w:cs="Calibri"/>
        </w:rPr>
        <w:t xml:space="preserve">low-moderate income households </w:t>
      </w:r>
      <w:r w:rsidR="00121DFB" w:rsidRPr="005715CC">
        <w:rPr>
          <w:rFonts w:ascii="Calibri" w:hAnsi="Calibri" w:cs="Calibri"/>
        </w:rPr>
        <w:t xml:space="preserve">increase wealth anywhere from $6,000 to $10,000 per year of homeownership as opposed to over $15,000 for high income households. </w:t>
      </w:r>
      <w:r w:rsidR="00497A9A">
        <w:rPr>
          <w:rFonts w:ascii="Calibri" w:hAnsi="Calibri" w:cs="Calibri"/>
        </w:rPr>
        <w:t>To me this is interesting because it suggests that, at</w:t>
      </w:r>
      <w:r w:rsidR="00121DFB" w:rsidRPr="005715CC">
        <w:rPr>
          <w:rFonts w:ascii="Calibri" w:hAnsi="Calibri" w:cs="Calibri"/>
        </w:rPr>
        <w:t xml:space="preserve"> least th</w:t>
      </w:r>
      <w:r w:rsidR="000B12E3">
        <w:rPr>
          <w:rFonts w:ascii="Calibri" w:hAnsi="Calibri" w:cs="Calibri"/>
        </w:rPr>
        <w:t>r</w:t>
      </w:r>
      <w:r w:rsidR="00121DFB" w:rsidRPr="005715CC">
        <w:rPr>
          <w:rFonts w:ascii="Calibri" w:hAnsi="Calibri" w:cs="Calibri"/>
        </w:rPr>
        <w:t xml:space="preserve">ough a vehicle like homeownership, </w:t>
      </w:r>
      <w:r w:rsidR="00B04275" w:rsidRPr="005715CC">
        <w:rPr>
          <w:rFonts w:ascii="Calibri" w:hAnsi="Calibri" w:cs="Calibri"/>
        </w:rPr>
        <w:t xml:space="preserve">income status </w:t>
      </w:r>
      <w:r w:rsidR="005A005C">
        <w:rPr>
          <w:rFonts w:ascii="Calibri" w:hAnsi="Calibri" w:cs="Calibri"/>
        </w:rPr>
        <w:t>can</w:t>
      </w:r>
      <w:r w:rsidR="00B04275" w:rsidRPr="005715CC">
        <w:rPr>
          <w:rFonts w:ascii="Calibri" w:hAnsi="Calibri" w:cs="Calibri"/>
        </w:rPr>
        <w:t xml:space="preserve"> contribute to higher wealth</w:t>
      </w:r>
      <w:r w:rsidR="005A3EDF" w:rsidRPr="005715CC">
        <w:rPr>
          <w:rFonts w:ascii="Calibri" w:hAnsi="Calibri" w:cs="Calibri"/>
        </w:rPr>
        <w:t xml:space="preserve"> accumulation. </w:t>
      </w:r>
    </w:p>
    <w:p w14:paraId="584CD0C6" w14:textId="55B35DFF" w:rsidR="00925BE2" w:rsidRPr="005715CC" w:rsidRDefault="00622CDF" w:rsidP="005715CC">
      <w:pPr>
        <w:spacing w:line="480" w:lineRule="auto"/>
        <w:ind w:firstLine="720"/>
        <w:jc w:val="both"/>
        <w:rPr>
          <w:rFonts w:ascii="Calibri" w:hAnsi="Calibri" w:cs="Calibri"/>
        </w:rPr>
      </w:pPr>
      <w:r w:rsidRPr="005715CC">
        <w:rPr>
          <w:rFonts w:ascii="Calibri" w:hAnsi="Calibri" w:cs="Calibri"/>
        </w:rPr>
        <w:t xml:space="preserve">The Great Recession of 2007 to 2011 greatly reduced wealth holdings in the US. </w:t>
      </w:r>
      <w:r w:rsidRPr="00622CDF">
        <w:rPr>
          <w:rFonts w:ascii="Calibri" w:hAnsi="Calibri" w:cs="Calibri"/>
        </w:rPr>
        <w:t>While large absolute amounts of wealth were destroyed at the top of the wealth distribution, households at the bottom lost the largest share</w:t>
      </w:r>
      <w:r w:rsidR="004705DB">
        <w:rPr>
          <w:rFonts w:ascii="Calibri" w:hAnsi="Calibri" w:cs="Calibri"/>
        </w:rPr>
        <w:t>s</w:t>
      </w:r>
      <w:r w:rsidRPr="005715CC">
        <w:rPr>
          <w:rFonts w:ascii="Calibri" w:hAnsi="Calibri" w:cs="Calibri"/>
        </w:rPr>
        <w:t xml:space="preserve">. </w:t>
      </w:r>
      <w:r w:rsidRPr="005715CC">
        <w:rPr>
          <w:rFonts w:ascii="Calibri" w:hAnsi="Calibri" w:cs="Calibri"/>
          <w:noProof/>
        </w:rPr>
        <w:t xml:space="preserve">Pfeffer, Danziger, and Schoeni </w:t>
      </w:r>
      <w:r w:rsidRPr="005715CC">
        <w:rPr>
          <w:rFonts w:ascii="Calibri" w:hAnsi="Calibri" w:cs="Calibri"/>
        </w:rPr>
        <w:fldChar w:fldCharType="begin" w:fldLock="1"/>
      </w:r>
      <w:r w:rsidR="000A4236" w:rsidRPr="005715CC">
        <w:rPr>
          <w:rFonts w:ascii="Calibri" w:hAnsi="Calibri" w:cs="Calibri"/>
        </w:rPr>
        <w:instrText>ADDIN CSL_CITATION {"citationItems":[{"id":"ITEM-1","itemData":{"DOI":"10.1177/0002716213497452","ISSN":"0002-7162","abstract":"The collapse of the labor, housing, and stock markets beginning in 2007 created unprecedented challenges for American families. This study examines disparities in wealth holdings leading up to the Great Recession and during the first years of the recovery. All socioeconomic groups experienced declines in wealth following the recession, with higher wealth families experiencing larger absolute declines. In percentage terms, however, the declines were greater for less advantaged groups as measured by minority status, education, and prerecession income and wealth, leading to a substantial rise in wealth inequality in just a few years. Despite large changes in wealth, longitudinal analyses demonstrate little change in mobility in the ranking of particular families in the wealth distribution. Between 2007 and 2011, one-fourth of American families lost at least 75 percent of their wealth, and more than half of all families lost at least 25 percent of their wealth. Multivariate longitudinal analyses document that these large relative losses were disproportionally concentrated among lower-income, less educated, and minority households.","author":[{"dropping-particle":"","family":"Pfeffer","given":"Fabian T","non-dropping-particle":"","parse-names":false,"suffix":""},{"dropping-particle":"","family":"Danziger","given":"Sheldon","non-dropping-particle":"","parse-names":false,"suffix":""},{"dropping-particle":"","family":"Schoeni","given":"Robert F","non-dropping-particle":"","parse-names":false,"suffix":""}],"container-title":"The ANNALS of the American Academy of Political and Social Science","editor":[{"dropping-particle":"","family":"Danziger","given":"Sheldon","non-dropping-particle":"","parse-names":false,"suffix":""}],"id":"ITEM-1","issue":"1","issued":{"date-parts":[["2013"]]},"page":"98-123","publisher-place":"Los Angeles, CA","title":"Wealth Disparities Before and After the Great Recession","type":"article-journal","volume":"650"},"suppress-author":1,"uris":["http://www.mendeley.com/documents/?uuid=6b08f26a-d97b-4d7d-8273-ff8ff0b7fb67"]}],"mendeley":{"formattedCitation":"(2013)","plainTextFormattedCitation":"(2013)","previouslyFormattedCitation":"(2013)"},"properties":{"noteIndex":0},"schema":"https://github.com/citation-style-language/schema/raw/master/csl-citation.json"}</w:instrText>
      </w:r>
      <w:r w:rsidRPr="005715CC">
        <w:rPr>
          <w:rFonts w:ascii="Calibri" w:hAnsi="Calibri" w:cs="Calibri"/>
        </w:rPr>
        <w:fldChar w:fldCharType="separate"/>
      </w:r>
      <w:r w:rsidRPr="005715CC">
        <w:rPr>
          <w:rFonts w:ascii="Calibri" w:hAnsi="Calibri" w:cs="Calibri"/>
          <w:noProof/>
        </w:rPr>
        <w:t>(2013)</w:t>
      </w:r>
      <w:r w:rsidRPr="005715CC">
        <w:rPr>
          <w:rFonts w:ascii="Calibri" w:hAnsi="Calibri" w:cs="Calibri"/>
        </w:rPr>
        <w:fldChar w:fldCharType="end"/>
      </w:r>
      <w:r w:rsidRPr="005715CC">
        <w:rPr>
          <w:rFonts w:ascii="Calibri" w:hAnsi="Calibri" w:cs="Calibri"/>
        </w:rPr>
        <w:t xml:space="preserve"> find that the </w:t>
      </w:r>
      <w:r w:rsidRPr="00622CDF">
        <w:rPr>
          <w:rFonts w:ascii="Calibri" w:hAnsi="Calibri" w:cs="Calibri"/>
        </w:rPr>
        <w:t xml:space="preserve">most disadvantaged groups (nonwhites, young adults, the less educated) experienced the </w:t>
      </w:r>
      <w:r w:rsidRPr="00622CDF">
        <w:rPr>
          <w:rFonts w:ascii="Calibri" w:hAnsi="Calibri" w:cs="Calibri"/>
        </w:rPr>
        <w:lastRenderedPageBreak/>
        <w:t>greatest relative wealth losses and were the most likely to have fallen into debt</w:t>
      </w:r>
      <w:r w:rsidRPr="005715CC">
        <w:rPr>
          <w:rFonts w:ascii="Calibri" w:hAnsi="Calibri" w:cs="Calibri"/>
        </w:rPr>
        <w:t xml:space="preserve">. </w:t>
      </w:r>
      <w:r w:rsidR="008156F0" w:rsidRPr="005715CC">
        <w:rPr>
          <w:rFonts w:ascii="Calibri" w:hAnsi="Calibri" w:cs="Calibri"/>
        </w:rPr>
        <w:t>The implication is that while there were losses across the board, those losses were not equally distributed, and the negative economic shock of the Great Recession contributed to an increase in wealth inequality. This is evident by the fact that the</w:t>
      </w:r>
      <w:r w:rsidR="008156F0" w:rsidRPr="005715CC">
        <w:rPr>
          <w:rFonts w:ascii="Calibri" w:hAnsi="Calibri" w:cs="Calibri"/>
          <w:color w:val="070707"/>
        </w:rPr>
        <w:t xml:space="preserve"> Gini coefficient increased by 10% from 2007 to 2011 and the ratio of wealth holdings from the 95th to 25th percentiles increased </w:t>
      </w:r>
      <w:r w:rsidR="007C5DAC" w:rsidRPr="005715CC">
        <w:rPr>
          <w:rFonts w:ascii="Calibri" w:hAnsi="Calibri" w:cs="Calibri"/>
          <w:color w:val="070707"/>
        </w:rPr>
        <w:t>six-fold</w:t>
      </w:r>
      <w:r w:rsidR="008156F0" w:rsidRPr="005715CC">
        <w:rPr>
          <w:rFonts w:ascii="Calibri" w:hAnsi="Calibri" w:cs="Calibri"/>
          <w:color w:val="070707"/>
        </w:rPr>
        <w:t xml:space="preserve"> from 2003 to 2011.</w:t>
      </w:r>
    </w:p>
    <w:p w14:paraId="59BB873C" w14:textId="31ED752F" w:rsidR="00090AAA" w:rsidRDefault="00531075" w:rsidP="00D60CE5">
      <w:pPr>
        <w:spacing w:line="480" w:lineRule="auto"/>
        <w:jc w:val="both"/>
        <w:rPr>
          <w:rFonts w:ascii="Calibri" w:hAnsi="Calibri" w:cs="Calibri"/>
        </w:rPr>
      </w:pPr>
      <w:r w:rsidRPr="005715CC">
        <w:rPr>
          <w:rFonts w:ascii="Calibri" w:hAnsi="Calibri" w:cs="Calibri"/>
          <w:b/>
        </w:rPr>
        <w:t xml:space="preserve">Transmission of </w:t>
      </w:r>
      <w:r w:rsidR="00090AAA">
        <w:rPr>
          <w:rFonts w:ascii="Calibri" w:hAnsi="Calibri" w:cs="Calibri"/>
          <w:b/>
        </w:rPr>
        <w:t>W</w:t>
      </w:r>
      <w:r w:rsidR="007C7BBF" w:rsidRPr="005715CC">
        <w:rPr>
          <w:rFonts w:ascii="Calibri" w:hAnsi="Calibri" w:cs="Calibri"/>
          <w:b/>
        </w:rPr>
        <w:t xml:space="preserve">ealth </w:t>
      </w:r>
      <w:r w:rsidRPr="005715CC">
        <w:rPr>
          <w:rFonts w:ascii="Calibri" w:hAnsi="Calibri" w:cs="Calibri"/>
          <w:b/>
        </w:rPr>
        <w:t>Inequality.</w:t>
      </w:r>
      <w:r w:rsidR="006B5383" w:rsidRPr="005715CC">
        <w:rPr>
          <w:rFonts w:ascii="Calibri" w:hAnsi="Calibri" w:cs="Calibri"/>
          <w:b/>
        </w:rPr>
        <w:t xml:space="preserve"> </w:t>
      </w:r>
      <w:r w:rsidR="00090AAA">
        <w:rPr>
          <w:rFonts w:ascii="Calibri" w:hAnsi="Calibri" w:cs="Calibri"/>
          <w:b/>
        </w:rPr>
        <w:t xml:space="preserve"> </w:t>
      </w:r>
      <w:r w:rsidR="00090AAA">
        <w:rPr>
          <w:rFonts w:ascii="Calibri" w:hAnsi="Calibri" w:cs="Calibri"/>
        </w:rPr>
        <w:t>There has been very little research on the transmission of wealth between generations, mostly because there is not great data. Unlike occupation</w:t>
      </w:r>
      <w:r w:rsidR="005A005C">
        <w:rPr>
          <w:rFonts w:ascii="Calibri" w:hAnsi="Calibri" w:cs="Calibri"/>
        </w:rPr>
        <w:t xml:space="preserve"> and </w:t>
      </w:r>
      <w:r w:rsidR="00090AAA">
        <w:rPr>
          <w:rFonts w:ascii="Calibri" w:hAnsi="Calibri" w:cs="Calibri"/>
        </w:rPr>
        <w:t xml:space="preserve">education, wealth can be directly transferred to children. Reasons for wealth transfer are classified as </w:t>
      </w:r>
      <w:r w:rsidR="00645AFA">
        <w:rPr>
          <w:rFonts w:ascii="Calibri" w:hAnsi="Calibri" w:cs="Calibri"/>
        </w:rPr>
        <w:t xml:space="preserve">either </w:t>
      </w:r>
      <w:r w:rsidR="00090AAA">
        <w:rPr>
          <w:rFonts w:ascii="Calibri" w:hAnsi="Calibri" w:cs="Calibri"/>
        </w:rPr>
        <w:t>altruistic—because parent</w:t>
      </w:r>
      <w:r w:rsidR="0082015E">
        <w:rPr>
          <w:rFonts w:ascii="Calibri" w:hAnsi="Calibri" w:cs="Calibri"/>
        </w:rPr>
        <w:t>s</w:t>
      </w:r>
      <w:r w:rsidR="00090AAA">
        <w:rPr>
          <w:rFonts w:ascii="Calibri" w:hAnsi="Calibri" w:cs="Calibri"/>
        </w:rPr>
        <w:t xml:space="preserve"> care about the well-being of their children—or exchange</w:t>
      </w:r>
      <w:r w:rsidR="00645AFA">
        <w:rPr>
          <w:rFonts w:ascii="Calibri" w:hAnsi="Calibri" w:cs="Calibri"/>
        </w:rPr>
        <w:t>-based</w:t>
      </w:r>
      <w:r w:rsidR="00090AAA">
        <w:rPr>
          <w:rFonts w:ascii="Calibri" w:hAnsi="Calibri" w:cs="Calibri"/>
        </w:rPr>
        <w:t xml:space="preserve">—parents reward their children for phone calls or time spent. </w:t>
      </w:r>
      <w:r w:rsidR="00E50805">
        <w:rPr>
          <w:rFonts w:ascii="Calibri" w:hAnsi="Calibri" w:cs="Calibri"/>
        </w:rPr>
        <w:t xml:space="preserve">Research on intergeneration transfers is also complicated by how transfers are made (inheritance or </w:t>
      </w:r>
      <w:r w:rsidR="00E50805" w:rsidRPr="007772FA">
        <w:rPr>
          <w:rFonts w:ascii="Calibri" w:hAnsi="Calibri" w:cs="Calibri"/>
          <w:i/>
        </w:rPr>
        <w:t>inter</w:t>
      </w:r>
      <w:r w:rsidR="00E50805">
        <w:rPr>
          <w:rFonts w:ascii="Calibri" w:hAnsi="Calibri" w:cs="Calibri"/>
        </w:rPr>
        <w:t xml:space="preserve"> </w:t>
      </w:r>
      <w:proofErr w:type="spellStart"/>
      <w:r w:rsidR="00E50805" w:rsidRPr="007772FA">
        <w:rPr>
          <w:rFonts w:ascii="Calibri" w:hAnsi="Calibri" w:cs="Calibri"/>
          <w:i/>
        </w:rPr>
        <w:t>vivos</w:t>
      </w:r>
      <w:proofErr w:type="spellEnd"/>
      <w:r w:rsidR="00E50805">
        <w:rPr>
          <w:rFonts w:ascii="Calibri" w:hAnsi="Calibri" w:cs="Calibri"/>
        </w:rPr>
        <w:t xml:space="preserve"> transfers) and </w:t>
      </w:r>
      <w:r w:rsidR="005A005C">
        <w:rPr>
          <w:rFonts w:ascii="Calibri" w:hAnsi="Calibri" w:cs="Calibri"/>
        </w:rPr>
        <w:t xml:space="preserve">by </w:t>
      </w:r>
      <w:r w:rsidR="00E50805">
        <w:rPr>
          <w:rFonts w:ascii="Calibri" w:hAnsi="Calibri" w:cs="Calibri"/>
        </w:rPr>
        <w:t xml:space="preserve">family structure (has the child established their own household). Estate and inheritance taxes range from 37% to 55% after an exclusion of $650,000, but they are hard to </w:t>
      </w:r>
      <w:r w:rsidR="00B5128A">
        <w:rPr>
          <w:rFonts w:ascii="Calibri" w:hAnsi="Calibri" w:cs="Calibri"/>
        </w:rPr>
        <w:t>enforce</w:t>
      </w:r>
      <w:r w:rsidR="005A005C">
        <w:rPr>
          <w:rFonts w:ascii="Calibri" w:hAnsi="Calibri" w:cs="Calibri"/>
        </w:rPr>
        <w:t xml:space="preserve"> and so</w:t>
      </w:r>
      <w:r w:rsidR="00E50805">
        <w:rPr>
          <w:rFonts w:ascii="Calibri" w:hAnsi="Calibri" w:cs="Calibri"/>
        </w:rPr>
        <w:t xml:space="preserve"> many people take advantage of loopholes.</w:t>
      </w:r>
    </w:p>
    <w:p w14:paraId="34A040D1" w14:textId="47CF6475" w:rsidR="00D220A5" w:rsidRPr="005715CC" w:rsidRDefault="002B7107" w:rsidP="00E94DD2">
      <w:pPr>
        <w:spacing w:line="480" w:lineRule="auto"/>
        <w:jc w:val="both"/>
        <w:rPr>
          <w:rFonts w:ascii="Calibri" w:hAnsi="Calibri" w:cs="Calibri"/>
          <w:b/>
        </w:rPr>
      </w:pPr>
      <w:r w:rsidRPr="005715CC">
        <w:rPr>
          <w:rFonts w:ascii="Calibri" w:hAnsi="Calibri" w:cs="Calibri"/>
          <w:b/>
        </w:rPr>
        <w:t>Q</w:t>
      </w:r>
      <w:r w:rsidR="006117B1" w:rsidRPr="005715CC">
        <w:rPr>
          <w:rFonts w:ascii="Calibri" w:hAnsi="Calibri" w:cs="Calibri"/>
          <w:b/>
        </w:rPr>
        <w:t>uestion</w:t>
      </w:r>
      <w:r w:rsidR="00D220A5" w:rsidRPr="005715CC">
        <w:rPr>
          <w:rFonts w:ascii="Calibri" w:hAnsi="Calibri" w:cs="Calibri"/>
          <w:b/>
        </w:rPr>
        <w:t>s/</w:t>
      </w:r>
      <w:r w:rsidR="003A59AC" w:rsidRPr="005715CC">
        <w:rPr>
          <w:rFonts w:ascii="Calibri" w:hAnsi="Calibri" w:cs="Calibri"/>
          <w:b/>
        </w:rPr>
        <w:t xml:space="preserve">Need for </w:t>
      </w:r>
      <w:r w:rsidR="00D220A5" w:rsidRPr="005715CC">
        <w:rPr>
          <w:rFonts w:ascii="Calibri" w:hAnsi="Calibri" w:cs="Calibri"/>
          <w:b/>
        </w:rPr>
        <w:t>Clarity</w:t>
      </w:r>
    </w:p>
    <w:p w14:paraId="3E5FA403" w14:textId="3B25D9A3" w:rsidR="00E014F9" w:rsidRPr="005715CC" w:rsidRDefault="00D1433E" w:rsidP="00645AFA">
      <w:pPr>
        <w:pStyle w:val="ListParagraph"/>
        <w:numPr>
          <w:ilvl w:val="0"/>
          <w:numId w:val="5"/>
        </w:numPr>
        <w:jc w:val="both"/>
        <w:rPr>
          <w:rFonts w:cs="Calibri"/>
        </w:rPr>
      </w:pPr>
      <w:r w:rsidRPr="005715CC">
        <w:rPr>
          <w:rFonts w:eastAsia="Times New Roman" w:cs="Calibri"/>
          <w:color w:val="auto"/>
        </w:rPr>
        <w:t xml:space="preserve">Not sure that I understand </w:t>
      </w:r>
      <w:r w:rsidR="002F225B" w:rsidRPr="005715CC">
        <w:rPr>
          <w:rFonts w:eastAsia="Times New Roman" w:cs="Calibri"/>
          <w:color w:val="auto"/>
        </w:rPr>
        <w:t xml:space="preserve">how </w:t>
      </w:r>
      <w:proofErr w:type="spellStart"/>
      <w:r w:rsidRPr="005715CC">
        <w:rPr>
          <w:rFonts w:cs="Calibri"/>
        </w:rPr>
        <w:t>Killewald</w:t>
      </w:r>
      <w:proofErr w:type="spellEnd"/>
      <w:r w:rsidRPr="005715CC">
        <w:rPr>
          <w:rFonts w:cs="Calibri"/>
        </w:rPr>
        <w:t xml:space="preserve"> and Bryan</w:t>
      </w:r>
      <w:r w:rsidR="002F225B" w:rsidRPr="005715CC">
        <w:rPr>
          <w:rFonts w:cs="Calibri"/>
        </w:rPr>
        <w:t xml:space="preserve"> </w:t>
      </w:r>
      <w:r w:rsidRPr="005715CC">
        <w:rPr>
          <w:rFonts w:cs="Calibri"/>
        </w:rPr>
        <w:t xml:space="preserve">use of marginal structural models to </w:t>
      </w:r>
      <w:r w:rsidR="002F225B" w:rsidRPr="005715CC">
        <w:rPr>
          <w:rFonts w:cs="Calibri"/>
        </w:rPr>
        <w:t xml:space="preserve">retain the effects of homeownership on endogenous variables like marriage. </w:t>
      </w:r>
    </w:p>
    <w:p w14:paraId="70D5BFF0" w14:textId="77777777" w:rsidR="00E76D3B" w:rsidRPr="00E76D3B" w:rsidRDefault="002F225B" w:rsidP="00645AFA">
      <w:pPr>
        <w:pStyle w:val="ListParagraph"/>
        <w:numPr>
          <w:ilvl w:val="0"/>
          <w:numId w:val="5"/>
        </w:numPr>
        <w:jc w:val="both"/>
        <w:rPr>
          <w:rFonts w:cs="Calibri"/>
        </w:rPr>
      </w:pPr>
      <w:r w:rsidRPr="005715CC">
        <w:rPr>
          <w:rFonts w:eastAsia="Times New Roman" w:cs="Calibri"/>
          <w:color w:val="auto"/>
        </w:rPr>
        <w:t>There was not much re</w:t>
      </w:r>
      <w:r w:rsidR="00020831" w:rsidRPr="005715CC">
        <w:rPr>
          <w:rFonts w:eastAsia="Times New Roman" w:cs="Calibri"/>
          <w:color w:val="auto"/>
        </w:rPr>
        <w:t xml:space="preserve">search </w:t>
      </w:r>
      <w:r w:rsidRPr="005715CC">
        <w:rPr>
          <w:rFonts w:eastAsia="Times New Roman" w:cs="Calibri"/>
          <w:color w:val="auto"/>
        </w:rPr>
        <w:t xml:space="preserve">on the effects of space and wealth accumulation. Most of the homeownership research only controlled for region of the US, which is not nearly granular enough to understand or control for housing markets affect home value. </w:t>
      </w:r>
    </w:p>
    <w:p w14:paraId="3B4A5E4B" w14:textId="548CDB0C" w:rsidR="002F225B" w:rsidRPr="005715CC" w:rsidRDefault="00E76D3B" w:rsidP="00645AFA">
      <w:pPr>
        <w:pStyle w:val="ListParagraph"/>
        <w:numPr>
          <w:ilvl w:val="0"/>
          <w:numId w:val="5"/>
        </w:numPr>
        <w:jc w:val="both"/>
        <w:rPr>
          <w:rFonts w:cs="Calibri"/>
        </w:rPr>
      </w:pPr>
      <w:r>
        <w:rPr>
          <w:rFonts w:eastAsia="Times New Roman" w:cs="Calibri"/>
          <w:color w:val="auto"/>
        </w:rPr>
        <w:t>How might my dissertation incorporate wealth data to examine longitudinal affordability of middle-class neighborhoods?</w:t>
      </w:r>
    </w:p>
    <w:p w14:paraId="41B39028" w14:textId="77777777" w:rsidR="00020831" w:rsidRPr="005715CC" w:rsidRDefault="00020831" w:rsidP="00E50805">
      <w:pPr>
        <w:pStyle w:val="ListParagraph"/>
        <w:ind w:left="775"/>
        <w:jc w:val="both"/>
        <w:rPr>
          <w:rFonts w:cs="Calibri"/>
        </w:rPr>
      </w:pPr>
    </w:p>
    <w:p w14:paraId="6BEE79D3" w14:textId="77777777" w:rsidR="00E014F9" w:rsidRPr="005715CC" w:rsidRDefault="00E014F9" w:rsidP="00E014F9">
      <w:pPr>
        <w:jc w:val="both"/>
        <w:rPr>
          <w:rFonts w:ascii="Calibri" w:hAnsi="Calibri" w:cs="Calibri"/>
        </w:rPr>
      </w:pPr>
    </w:p>
    <w:p w14:paraId="64099F5F" w14:textId="3891A7FA" w:rsidR="00C37D1B" w:rsidRPr="005715CC" w:rsidRDefault="00C37D1B" w:rsidP="00C37D1B">
      <w:pPr>
        <w:spacing w:line="480" w:lineRule="auto"/>
        <w:jc w:val="both"/>
        <w:rPr>
          <w:rFonts w:ascii="Calibri" w:hAnsi="Calibri" w:cs="Calibri"/>
        </w:rPr>
      </w:pPr>
    </w:p>
    <w:sectPr w:rsidR="00C37D1B" w:rsidRPr="005715CC"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556A4" w14:textId="77777777" w:rsidR="00F51204" w:rsidRDefault="00F51204" w:rsidP="00D45008">
      <w:r>
        <w:separator/>
      </w:r>
    </w:p>
  </w:endnote>
  <w:endnote w:type="continuationSeparator" w:id="0">
    <w:p w14:paraId="12CC128C" w14:textId="77777777" w:rsidR="00F51204" w:rsidRDefault="00F51204"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645AFA" w:rsidRDefault="00645AFA" w:rsidP="00E528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645AFA" w:rsidRDefault="00645AFA"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4795D9FD" w:rsidR="00645AFA" w:rsidRDefault="00645AFA" w:rsidP="00E5287B">
    <w:pPr>
      <w:pStyle w:val="Footer"/>
      <w:framePr w:wrap="none" w:vAnchor="text" w:hAnchor="margin" w:xAlign="right" w:y="1"/>
      <w:rPr>
        <w:rStyle w:val="PageNumber"/>
      </w:rPr>
    </w:pPr>
    <w:r>
      <w:t>Wealth and Inequality</w:t>
    </w: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D28464A" w14:textId="77777777" w:rsidR="00645AFA" w:rsidRDefault="00645AFA" w:rsidP="00D450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9947144"/>
      <w:docPartObj>
        <w:docPartGallery w:val="Page Numbers (Bottom of Page)"/>
        <w:docPartUnique/>
      </w:docPartObj>
    </w:sdtPr>
    <w:sdtEndPr>
      <w:rPr>
        <w:rStyle w:val="PageNumber"/>
      </w:rPr>
    </w:sdtEndPr>
    <w:sdtContent>
      <w:p w14:paraId="123575E9" w14:textId="652BC890" w:rsidR="00645AFA" w:rsidRDefault="00645AFA" w:rsidP="00645AFA">
        <w:pPr>
          <w:pStyle w:val="Footer"/>
          <w:framePr w:wrap="none" w:vAnchor="text" w:hAnchor="margin" w:xAlign="right" w:y="1"/>
          <w:rPr>
            <w:rStyle w:val="PageNumber"/>
          </w:rPr>
        </w:pPr>
        <w:r>
          <w:rPr>
            <w:rStyle w:val="PageNumber"/>
          </w:rPr>
          <w:t>Wealth and Inequality|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7C63A" w14:textId="77777777" w:rsidR="00645AFA" w:rsidRDefault="00645AFA" w:rsidP="00E94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C8786" w14:textId="77777777" w:rsidR="00F51204" w:rsidRDefault="00F51204" w:rsidP="00D45008">
      <w:r>
        <w:separator/>
      </w:r>
    </w:p>
  </w:footnote>
  <w:footnote w:type="continuationSeparator" w:id="0">
    <w:p w14:paraId="51CD12CA" w14:textId="77777777" w:rsidR="00F51204" w:rsidRDefault="00F51204" w:rsidP="00D45008">
      <w:r>
        <w:continuationSeparator/>
      </w:r>
    </w:p>
  </w:footnote>
  <w:footnote w:id="1">
    <w:p w14:paraId="4045A93D" w14:textId="77777777" w:rsidR="00645AFA" w:rsidRPr="00176E3B" w:rsidRDefault="00645AFA" w:rsidP="00B82991">
      <w:pPr>
        <w:pStyle w:val="FootnoteText"/>
        <w:rPr>
          <w:rFonts w:ascii="Calibri" w:hAnsi="Calibri" w:cs="Calibri"/>
        </w:rPr>
      </w:pPr>
      <w:r w:rsidRPr="00176E3B">
        <w:rPr>
          <w:rStyle w:val="FootnoteReference"/>
          <w:rFonts w:ascii="Calibri" w:hAnsi="Calibri" w:cs="Calibri"/>
        </w:rPr>
        <w:footnoteRef/>
      </w:r>
      <w:r w:rsidRPr="00176E3B">
        <w:rPr>
          <w:rFonts w:ascii="Calibri" w:hAnsi="Calibri" w:cs="Calibri"/>
        </w:rPr>
        <w:t xml:space="preserve"> Survey of Consumer Finances (</w:t>
      </w:r>
      <w:proofErr w:type="spellStart"/>
      <w:r w:rsidRPr="00176E3B">
        <w:rPr>
          <w:rFonts w:ascii="Calibri" w:hAnsi="Calibri" w:cs="Calibri"/>
        </w:rPr>
        <w:t>SCF</w:t>
      </w:r>
      <w:proofErr w:type="spellEnd"/>
      <w:r w:rsidRPr="00176E3B">
        <w:rPr>
          <w:rFonts w:ascii="Calibri" w:hAnsi="Calibri" w:cs="Calibri"/>
        </w:rPr>
        <w:t>), Panel Study of Income Dynamics (</w:t>
      </w:r>
      <w:proofErr w:type="spellStart"/>
      <w:r w:rsidRPr="00176E3B">
        <w:rPr>
          <w:rFonts w:ascii="Calibri" w:hAnsi="Calibri" w:cs="Calibri"/>
        </w:rPr>
        <w:t>PSID</w:t>
      </w:r>
      <w:proofErr w:type="spellEnd"/>
      <w:r w:rsidRPr="00176E3B">
        <w:rPr>
          <w:rFonts w:ascii="Calibri" w:hAnsi="Calibri" w:cs="Calibri"/>
        </w:rPr>
        <w:t>), and Health and Retirement Study (HRS)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645AFA" w:rsidRDefault="00645AFA" w:rsidP="007E0AD1">
    <w:pPr>
      <w:pStyle w:val="Header"/>
      <w:jc w:val="right"/>
    </w:pPr>
    <w:r>
      <w:t>Kasey Zapatka</w:t>
    </w:r>
  </w:p>
  <w:p w14:paraId="4CBA8A0F" w14:textId="022A3804" w:rsidR="00645AFA" w:rsidRDefault="00645AFA" w:rsidP="007E0AD1">
    <w:pPr>
      <w:pStyle w:val="Header"/>
      <w:jc w:val="right"/>
    </w:pPr>
    <w:r>
      <w:t>Inequality Orals</w:t>
    </w:r>
  </w:p>
  <w:p w14:paraId="1A2B471F" w14:textId="151E589C" w:rsidR="00645AFA" w:rsidRDefault="00645AFA" w:rsidP="007E0AD1">
    <w:pPr>
      <w:pStyle w:val="Header"/>
      <w:jc w:val="right"/>
    </w:pPr>
    <w:r w:rsidRPr="008623FA">
      <w:rPr>
        <w:b/>
      </w:rPr>
      <w:t>Section</w:t>
    </w:r>
    <w:r>
      <w:t>: Wealth and Inequality</w:t>
    </w:r>
  </w:p>
  <w:p w14:paraId="197A195E" w14:textId="77777777" w:rsidR="00645AFA" w:rsidRPr="007E0AD1" w:rsidRDefault="00645AFA" w:rsidP="007E0AD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645AFA" w:rsidRDefault="00645AFA" w:rsidP="007E0AD1">
    <w:pPr>
      <w:pStyle w:val="Header"/>
      <w:jc w:val="right"/>
    </w:pPr>
    <w:r>
      <w:tab/>
      <w:t>Kasey Zapatka</w:t>
    </w:r>
  </w:p>
  <w:p w14:paraId="58C3C583" w14:textId="140993AF" w:rsidR="00645AFA" w:rsidRDefault="00645AFA" w:rsidP="007E0AD1">
    <w:pPr>
      <w:pStyle w:val="Header"/>
      <w:jc w:val="right"/>
    </w:pPr>
    <w:r>
      <w:t>Inequality Orals</w:t>
    </w:r>
  </w:p>
  <w:p w14:paraId="697D1172" w14:textId="78A5C1DD" w:rsidR="00645AFA" w:rsidRDefault="00645AFA" w:rsidP="007E0AD1">
    <w:pPr>
      <w:pStyle w:val="Header"/>
      <w:jc w:val="right"/>
    </w:pPr>
    <w:r w:rsidRPr="008623FA">
      <w:rPr>
        <w:b/>
      </w:rPr>
      <w:t>Section</w:t>
    </w:r>
    <w:r>
      <w:t xml:space="preserve">: Wealth and Inequality </w:t>
    </w:r>
  </w:p>
  <w:p w14:paraId="43B03BEA" w14:textId="45237B2D" w:rsidR="00645AFA" w:rsidRDefault="00645AFA" w:rsidP="007E0AD1">
    <w:pPr>
      <w:pStyle w:val="Header"/>
      <w:jc w:val="right"/>
    </w:pPr>
    <w:r>
      <w:t>March 4, 2019</w:t>
    </w:r>
  </w:p>
  <w:p w14:paraId="7B4BCD4F" w14:textId="072AB594" w:rsidR="00645AFA" w:rsidRDefault="00645AFA" w:rsidP="007E0AD1">
    <w:pPr>
      <w:pStyle w:val="Header"/>
      <w:tabs>
        <w:tab w:val="clear" w:pos="4680"/>
        <w:tab w:val="clear" w:pos="9360"/>
        <w:tab w:val="left" w:pos="53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30893"/>
    <w:multiLevelType w:val="multilevel"/>
    <w:tmpl w:val="5E02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7F72"/>
    <w:multiLevelType w:val="multilevel"/>
    <w:tmpl w:val="075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760E8"/>
    <w:multiLevelType w:val="hybridMultilevel"/>
    <w:tmpl w:val="FD10D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B0C"/>
    <w:multiLevelType w:val="multilevel"/>
    <w:tmpl w:val="B898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D542D"/>
    <w:multiLevelType w:val="multilevel"/>
    <w:tmpl w:val="088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4680B"/>
    <w:multiLevelType w:val="multilevel"/>
    <w:tmpl w:val="51F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370CE"/>
    <w:multiLevelType w:val="multilevel"/>
    <w:tmpl w:val="A21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069BD"/>
    <w:multiLevelType w:val="hybridMultilevel"/>
    <w:tmpl w:val="A5D43D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602E0090"/>
    <w:multiLevelType w:val="multilevel"/>
    <w:tmpl w:val="A7B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074AB"/>
    <w:multiLevelType w:val="multilevel"/>
    <w:tmpl w:val="4BC2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71B23"/>
    <w:multiLevelType w:val="multilevel"/>
    <w:tmpl w:val="72E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2"/>
  </w:num>
  <w:num w:numId="5">
    <w:abstractNumId w:val="10"/>
  </w:num>
  <w:num w:numId="6">
    <w:abstractNumId w:val="4"/>
  </w:num>
  <w:num w:numId="7">
    <w:abstractNumId w:val="6"/>
  </w:num>
  <w:num w:numId="8">
    <w:abstractNumId w:val="12"/>
  </w:num>
  <w:num w:numId="9">
    <w:abstractNumId w:val="1"/>
  </w:num>
  <w:num w:numId="10">
    <w:abstractNumId w:val="5"/>
  </w:num>
  <w:num w:numId="11">
    <w:abstractNumId w:val="11"/>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48D"/>
    <w:rsid w:val="0000309E"/>
    <w:rsid w:val="00020831"/>
    <w:rsid w:val="000256E6"/>
    <w:rsid w:val="00060787"/>
    <w:rsid w:val="00063A8A"/>
    <w:rsid w:val="00063FB1"/>
    <w:rsid w:val="00066DD2"/>
    <w:rsid w:val="00070799"/>
    <w:rsid w:val="00071789"/>
    <w:rsid w:val="00076EA9"/>
    <w:rsid w:val="00090AAA"/>
    <w:rsid w:val="00090D32"/>
    <w:rsid w:val="00095579"/>
    <w:rsid w:val="000A29EB"/>
    <w:rsid w:val="000A4236"/>
    <w:rsid w:val="000A7B9D"/>
    <w:rsid w:val="000B12E3"/>
    <w:rsid w:val="000C5FF3"/>
    <w:rsid w:val="000C6C01"/>
    <w:rsid w:val="000E02D4"/>
    <w:rsid w:val="000F3ECA"/>
    <w:rsid w:val="001021F5"/>
    <w:rsid w:val="00104C54"/>
    <w:rsid w:val="001159D7"/>
    <w:rsid w:val="00121DFB"/>
    <w:rsid w:val="00122E33"/>
    <w:rsid w:val="00130342"/>
    <w:rsid w:val="00131FD2"/>
    <w:rsid w:val="00151B53"/>
    <w:rsid w:val="00167D91"/>
    <w:rsid w:val="00172A87"/>
    <w:rsid w:val="00174AE0"/>
    <w:rsid w:val="00176E3B"/>
    <w:rsid w:val="0017755C"/>
    <w:rsid w:val="00181D2A"/>
    <w:rsid w:val="0018349D"/>
    <w:rsid w:val="00193169"/>
    <w:rsid w:val="00193D45"/>
    <w:rsid w:val="00195EBF"/>
    <w:rsid w:val="00197AB5"/>
    <w:rsid w:val="001A1954"/>
    <w:rsid w:val="001B4766"/>
    <w:rsid w:val="001B6531"/>
    <w:rsid w:val="001C7F04"/>
    <w:rsid w:val="001D3607"/>
    <w:rsid w:val="001D5E80"/>
    <w:rsid w:val="001E0837"/>
    <w:rsid w:val="001F5EF6"/>
    <w:rsid w:val="00200A29"/>
    <w:rsid w:val="002107C0"/>
    <w:rsid w:val="00213354"/>
    <w:rsid w:val="002153DB"/>
    <w:rsid w:val="00226868"/>
    <w:rsid w:val="00226B7D"/>
    <w:rsid w:val="00232ED2"/>
    <w:rsid w:val="00256546"/>
    <w:rsid w:val="00256A54"/>
    <w:rsid w:val="00261641"/>
    <w:rsid w:val="00261E1B"/>
    <w:rsid w:val="002660DC"/>
    <w:rsid w:val="00272D15"/>
    <w:rsid w:val="00282FB7"/>
    <w:rsid w:val="00294E62"/>
    <w:rsid w:val="002B12C8"/>
    <w:rsid w:val="002B2E58"/>
    <w:rsid w:val="002B7107"/>
    <w:rsid w:val="002C2B7A"/>
    <w:rsid w:val="002D28D0"/>
    <w:rsid w:val="002D57C8"/>
    <w:rsid w:val="002E0501"/>
    <w:rsid w:val="002E2A25"/>
    <w:rsid w:val="002E472A"/>
    <w:rsid w:val="002F225B"/>
    <w:rsid w:val="002F3DF2"/>
    <w:rsid w:val="002F6CB0"/>
    <w:rsid w:val="00307348"/>
    <w:rsid w:val="00307E68"/>
    <w:rsid w:val="003156F2"/>
    <w:rsid w:val="00324BAA"/>
    <w:rsid w:val="00326C08"/>
    <w:rsid w:val="00340C49"/>
    <w:rsid w:val="00342584"/>
    <w:rsid w:val="00350A21"/>
    <w:rsid w:val="0035685D"/>
    <w:rsid w:val="0036524F"/>
    <w:rsid w:val="003658BA"/>
    <w:rsid w:val="003802B7"/>
    <w:rsid w:val="003A0C13"/>
    <w:rsid w:val="003A59AC"/>
    <w:rsid w:val="003A79DF"/>
    <w:rsid w:val="003C6278"/>
    <w:rsid w:val="003D54B9"/>
    <w:rsid w:val="003D5E5C"/>
    <w:rsid w:val="003D65AE"/>
    <w:rsid w:val="003E1E57"/>
    <w:rsid w:val="003E466A"/>
    <w:rsid w:val="003E7851"/>
    <w:rsid w:val="003F3C29"/>
    <w:rsid w:val="003F4164"/>
    <w:rsid w:val="00406FC4"/>
    <w:rsid w:val="00407F5F"/>
    <w:rsid w:val="00415988"/>
    <w:rsid w:val="004167DF"/>
    <w:rsid w:val="004373ED"/>
    <w:rsid w:val="004559A4"/>
    <w:rsid w:val="00462EF7"/>
    <w:rsid w:val="00463872"/>
    <w:rsid w:val="00466B07"/>
    <w:rsid w:val="00467F20"/>
    <w:rsid w:val="0047045D"/>
    <w:rsid w:val="004705DB"/>
    <w:rsid w:val="00475A6E"/>
    <w:rsid w:val="0048312F"/>
    <w:rsid w:val="00485E65"/>
    <w:rsid w:val="0048778D"/>
    <w:rsid w:val="00491B8C"/>
    <w:rsid w:val="00497A9A"/>
    <w:rsid w:val="004A1977"/>
    <w:rsid w:val="004A67E8"/>
    <w:rsid w:val="004A6C11"/>
    <w:rsid w:val="004C1615"/>
    <w:rsid w:val="004C431D"/>
    <w:rsid w:val="004C4BD0"/>
    <w:rsid w:val="004F0B5D"/>
    <w:rsid w:val="004F7130"/>
    <w:rsid w:val="004F78B7"/>
    <w:rsid w:val="00502C82"/>
    <w:rsid w:val="005220D2"/>
    <w:rsid w:val="00526F4E"/>
    <w:rsid w:val="00531075"/>
    <w:rsid w:val="005338E0"/>
    <w:rsid w:val="00555E1D"/>
    <w:rsid w:val="00563015"/>
    <w:rsid w:val="00563AC0"/>
    <w:rsid w:val="005702DC"/>
    <w:rsid w:val="005715CC"/>
    <w:rsid w:val="00573479"/>
    <w:rsid w:val="0057619B"/>
    <w:rsid w:val="00581124"/>
    <w:rsid w:val="0059008E"/>
    <w:rsid w:val="00591A70"/>
    <w:rsid w:val="005A005C"/>
    <w:rsid w:val="005A112E"/>
    <w:rsid w:val="005A38F7"/>
    <w:rsid w:val="005A3EDF"/>
    <w:rsid w:val="005B37B7"/>
    <w:rsid w:val="005B57E8"/>
    <w:rsid w:val="005C47F7"/>
    <w:rsid w:val="005D713F"/>
    <w:rsid w:val="005F082C"/>
    <w:rsid w:val="005F4A51"/>
    <w:rsid w:val="00607855"/>
    <w:rsid w:val="006117B1"/>
    <w:rsid w:val="00620EA8"/>
    <w:rsid w:val="00622CDF"/>
    <w:rsid w:val="00627FB0"/>
    <w:rsid w:val="00632DFF"/>
    <w:rsid w:val="00640AA4"/>
    <w:rsid w:val="00644272"/>
    <w:rsid w:val="00644438"/>
    <w:rsid w:val="00645AFA"/>
    <w:rsid w:val="0064600A"/>
    <w:rsid w:val="006462E1"/>
    <w:rsid w:val="00650E4B"/>
    <w:rsid w:val="006537E9"/>
    <w:rsid w:val="00655651"/>
    <w:rsid w:val="00656369"/>
    <w:rsid w:val="00664A64"/>
    <w:rsid w:val="00667330"/>
    <w:rsid w:val="0067260A"/>
    <w:rsid w:val="006801D4"/>
    <w:rsid w:val="00680494"/>
    <w:rsid w:val="006821AE"/>
    <w:rsid w:val="00683156"/>
    <w:rsid w:val="006837F0"/>
    <w:rsid w:val="006867E0"/>
    <w:rsid w:val="00687E73"/>
    <w:rsid w:val="006944B9"/>
    <w:rsid w:val="00696D5D"/>
    <w:rsid w:val="006B0D0E"/>
    <w:rsid w:val="006B4F92"/>
    <w:rsid w:val="006B5383"/>
    <w:rsid w:val="006B7FB7"/>
    <w:rsid w:val="006D339F"/>
    <w:rsid w:val="006D50DC"/>
    <w:rsid w:val="006F473B"/>
    <w:rsid w:val="006F69ED"/>
    <w:rsid w:val="006F7866"/>
    <w:rsid w:val="0070105E"/>
    <w:rsid w:val="00703D85"/>
    <w:rsid w:val="00714380"/>
    <w:rsid w:val="00715825"/>
    <w:rsid w:val="00715D0A"/>
    <w:rsid w:val="007238D0"/>
    <w:rsid w:val="007378FA"/>
    <w:rsid w:val="00742234"/>
    <w:rsid w:val="0074413B"/>
    <w:rsid w:val="007472CC"/>
    <w:rsid w:val="00760BB2"/>
    <w:rsid w:val="00775EC6"/>
    <w:rsid w:val="007772FA"/>
    <w:rsid w:val="007952BE"/>
    <w:rsid w:val="00797076"/>
    <w:rsid w:val="007A5172"/>
    <w:rsid w:val="007B0C88"/>
    <w:rsid w:val="007B5FA0"/>
    <w:rsid w:val="007C436F"/>
    <w:rsid w:val="007C5DAC"/>
    <w:rsid w:val="007C7BBF"/>
    <w:rsid w:val="007D0AC1"/>
    <w:rsid w:val="007D1EB6"/>
    <w:rsid w:val="007E0AD1"/>
    <w:rsid w:val="007E2CE6"/>
    <w:rsid w:val="007F50FE"/>
    <w:rsid w:val="00814452"/>
    <w:rsid w:val="008152DF"/>
    <w:rsid w:val="008156F0"/>
    <w:rsid w:val="0081788B"/>
    <w:rsid w:val="0082015E"/>
    <w:rsid w:val="008314E2"/>
    <w:rsid w:val="008373EA"/>
    <w:rsid w:val="00850476"/>
    <w:rsid w:val="00854783"/>
    <w:rsid w:val="008579DA"/>
    <w:rsid w:val="008623FA"/>
    <w:rsid w:val="00865F10"/>
    <w:rsid w:val="0087428F"/>
    <w:rsid w:val="0087438E"/>
    <w:rsid w:val="0087567C"/>
    <w:rsid w:val="0087773B"/>
    <w:rsid w:val="0088280C"/>
    <w:rsid w:val="00883A83"/>
    <w:rsid w:val="008A0E76"/>
    <w:rsid w:val="008A5665"/>
    <w:rsid w:val="008B2195"/>
    <w:rsid w:val="008B6637"/>
    <w:rsid w:val="008C0AB8"/>
    <w:rsid w:val="008C2F7E"/>
    <w:rsid w:val="008E1E69"/>
    <w:rsid w:val="008E5027"/>
    <w:rsid w:val="008F63A1"/>
    <w:rsid w:val="009057B1"/>
    <w:rsid w:val="00911480"/>
    <w:rsid w:val="0091240F"/>
    <w:rsid w:val="00913AB6"/>
    <w:rsid w:val="00924140"/>
    <w:rsid w:val="009249E8"/>
    <w:rsid w:val="00925BE2"/>
    <w:rsid w:val="00930491"/>
    <w:rsid w:val="00931BC2"/>
    <w:rsid w:val="00931CD8"/>
    <w:rsid w:val="0093305D"/>
    <w:rsid w:val="0094159C"/>
    <w:rsid w:val="0094261B"/>
    <w:rsid w:val="009435F2"/>
    <w:rsid w:val="00960FE4"/>
    <w:rsid w:val="00961F1E"/>
    <w:rsid w:val="0096746E"/>
    <w:rsid w:val="00986068"/>
    <w:rsid w:val="00986379"/>
    <w:rsid w:val="00987069"/>
    <w:rsid w:val="00994671"/>
    <w:rsid w:val="0099553F"/>
    <w:rsid w:val="009A21D6"/>
    <w:rsid w:val="009A3295"/>
    <w:rsid w:val="009C149B"/>
    <w:rsid w:val="009C5872"/>
    <w:rsid w:val="009C776C"/>
    <w:rsid w:val="009D23FD"/>
    <w:rsid w:val="009E02E3"/>
    <w:rsid w:val="009E5A8D"/>
    <w:rsid w:val="00A20E2D"/>
    <w:rsid w:val="00A26F11"/>
    <w:rsid w:val="00A3008E"/>
    <w:rsid w:val="00A37982"/>
    <w:rsid w:val="00A46ED8"/>
    <w:rsid w:val="00A51F5A"/>
    <w:rsid w:val="00A5693A"/>
    <w:rsid w:val="00A61144"/>
    <w:rsid w:val="00A74B7A"/>
    <w:rsid w:val="00AA08AF"/>
    <w:rsid w:val="00AA5C37"/>
    <w:rsid w:val="00AC26C5"/>
    <w:rsid w:val="00AC41B0"/>
    <w:rsid w:val="00AC4547"/>
    <w:rsid w:val="00AE10ED"/>
    <w:rsid w:val="00AF0EB6"/>
    <w:rsid w:val="00AF3BBE"/>
    <w:rsid w:val="00B03BDA"/>
    <w:rsid w:val="00B04275"/>
    <w:rsid w:val="00B20B02"/>
    <w:rsid w:val="00B2139A"/>
    <w:rsid w:val="00B21919"/>
    <w:rsid w:val="00B23401"/>
    <w:rsid w:val="00B5128A"/>
    <w:rsid w:val="00B62D98"/>
    <w:rsid w:val="00B75995"/>
    <w:rsid w:val="00B76ACF"/>
    <w:rsid w:val="00B778BB"/>
    <w:rsid w:val="00B82991"/>
    <w:rsid w:val="00B948EE"/>
    <w:rsid w:val="00B96C43"/>
    <w:rsid w:val="00BA3AF9"/>
    <w:rsid w:val="00BA40B9"/>
    <w:rsid w:val="00BA67AA"/>
    <w:rsid w:val="00BB0B99"/>
    <w:rsid w:val="00BB192D"/>
    <w:rsid w:val="00BB51E7"/>
    <w:rsid w:val="00BB6BD7"/>
    <w:rsid w:val="00BC4742"/>
    <w:rsid w:val="00BC4A9A"/>
    <w:rsid w:val="00BC4C8E"/>
    <w:rsid w:val="00BC6058"/>
    <w:rsid w:val="00BD1932"/>
    <w:rsid w:val="00BD29C6"/>
    <w:rsid w:val="00BD4F0D"/>
    <w:rsid w:val="00BF0879"/>
    <w:rsid w:val="00C04C07"/>
    <w:rsid w:val="00C11D76"/>
    <w:rsid w:val="00C12FC1"/>
    <w:rsid w:val="00C13392"/>
    <w:rsid w:val="00C2517A"/>
    <w:rsid w:val="00C25CAF"/>
    <w:rsid w:val="00C26963"/>
    <w:rsid w:val="00C3075C"/>
    <w:rsid w:val="00C37D1B"/>
    <w:rsid w:val="00C40332"/>
    <w:rsid w:val="00C42535"/>
    <w:rsid w:val="00C426C8"/>
    <w:rsid w:val="00C4462B"/>
    <w:rsid w:val="00C5033B"/>
    <w:rsid w:val="00C62F99"/>
    <w:rsid w:val="00C6504A"/>
    <w:rsid w:val="00C74B74"/>
    <w:rsid w:val="00C80EC5"/>
    <w:rsid w:val="00C8503E"/>
    <w:rsid w:val="00C90A81"/>
    <w:rsid w:val="00C91B60"/>
    <w:rsid w:val="00C939FF"/>
    <w:rsid w:val="00C9613A"/>
    <w:rsid w:val="00C97D0F"/>
    <w:rsid w:val="00C97F47"/>
    <w:rsid w:val="00CA41FD"/>
    <w:rsid w:val="00CB5FBD"/>
    <w:rsid w:val="00CB697D"/>
    <w:rsid w:val="00CC6750"/>
    <w:rsid w:val="00CD67AB"/>
    <w:rsid w:val="00CE0EDE"/>
    <w:rsid w:val="00CF1DC8"/>
    <w:rsid w:val="00CF54A3"/>
    <w:rsid w:val="00D04B8F"/>
    <w:rsid w:val="00D07A2B"/>
    <w:rsid w:val="00D1209C"/>
    <w:rsid w:val="00D1315E"/>
    <w:rsid w:val="00D1433E"/>
    <w:rsid w:val="00D220A5"/>
    <w:rsid w:val="00D2449C"/>
    <w:rsid w:val="00D307E3"/>
    <w:rsid w:val="00D41EDA"/>
    <w:rsid w:val="00D426A3"/>
    <w:rsid w:val="00D42ABA"/>
    <w:rsid w:val="00D4317D"/>
    <w:rsid w:val="00D45008"/>
    <w:rsid w:val="00D458C8"/>
    <w:rsid w:val="00D50B87"/>
    <w:rsid w:val="00D50D6C"/>
    <w:rsid w:val="00D53EF1"/>
    <w:rsid w:val="00D60CE5"/>
    <w:rsid w:val="00D71B73"/>
    <w:rsid w:val="00D8046D"/>
    <w:rsid w:val="00D833B2"/>
    <w:rsid w:val="00D843FD"/>
    <w:rsid w:val="00D85983"/>
    <w:rsid w:val="00D90E1F"/>
    <w:rsid w:val="00D96C43"/>
    <w:rsid w:val="00DA2F1C"/>
    <w:rsid w:val="00DA7E17"/>
    <w:rsid w:val="00DB1CDE"/>
    <w:rsid w:val="00DB6A88"/>
    <w:rsid w:val="00DC1DD3"/>
    <w:rsid w:val="00DC313C"/>
    <w:rsid w:val="00DD0F56"/>
    <w:rsid w:val="00DD342E"/>
    <w:rsid w:val="00DE6F54"/>
    <w:rsid w:val="00E014F9"/>
    <w:rsid w:val="00E0173A"/>
    <w:rsid w:val="00E0732C"/>
    <w:rsid w:val="00E11F18"/>
    <w:rsid w:val="00E12B76"/>
    <w:rsid w:val="00E1551D"/>
    <w:rsid w:val="00E279B5"/>
    <w:rsid w:val="00E33AAE"/>
    <w:rsid w:val="00E366DB"/>
    <w:rsid w:val="00E42971"/>
    <w:rsid w:val="00E50805"/>
    <w:rsid w:val="00E5287B"/>
    <w:rsid w:val="00E52F41"/>
    <w:rsid w:val="00E552D6"/>
    <w:rsid w:val="00E70303"/>
    <w:rsid w:val="00E7472B"/>
    <w:rsid w:val="00E76D3B"/>
    <w:rsid w:val="00E81AAB"/>
    <w:rsid w:val="00E86298"/>
    <w:rsid w:val="00E8643B"/>
    <w:rsid w:val="00E91662"/>
    <w:rsid w:val="00E94DD2"/>
    <w:rsid w:val="00EA244F"/>
    <w:rsid w:val="00EB5BC3"/>
    <w:rsid w:val="00ED4432"/>
    <w:rsid w:val="00ED5AAB"/>
    <w:rsid w:val="00ED632E"/>
    <w:rsid w:val="00EF1856"/>
    <w:rsid w:val="00EF227F"/>
    <w:rsid w:val="00F04EC4"/>
    <w:rsid w:val="00F05B6E"/>
    <w:rsid w:val="00F15013"/>
    <w:rsid w:val="00F243E6"/>
    <w:rsid w:val="00F322BE"/>
    <w:rsid w:val="00F40E3F"/>
    <w:rsid w:val="00F47A9D"/>
    <w:rsid w:val="00F51204"/>
    <w:rsid w:val="00F54687"/>
    <w:rsid w:val="00F54B70"/>
    <w:rsid w:val="00F7593D"/>
    <w:rsid w:val="00F938DB"/>
    <w:rsid w:val="00F93F51"/>
    <w:rsid w:val="00FA5FDF"/>
    <w:rsid w:val="00FA60E7"/>
    <w:rsid w:val="00FB0A02"/>
    <w:rsid w:val="00FB4F66"/>
    <w:rsid w:val="00FC31B7"/>
    <w:rsid w:val="00FD3693"/>
    <w:rsid w:val="00FD3AA6"/>
    <w:rsid w:val="00FD48F2"/>
    <w:rsid w:val="00FD6380"/>
    <w:rsid w:val="00FD77D4"/>
    <w:rsid w:val="00FE1FAF"/>
    <w:rsid w:val="00FE2649"/>
    <w:rsid w:val="00FF00CF"/>
    <w:rsid w:val="00F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6F0"/>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rPr>
      <w:rFonts w:ascii="Calibri" w:eastAsiaTheme="minorHAnsi" w:hAnsi="Calibri" w:cs="Helvetica"/>
      <w:color w:val="000000"/>
    </w:r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rPr>
      <w:rFonts w:ascii="Calibri" w:eastAsiaTheme="minorHAnsi" w:hAnsi="Calibri" w:cs="Helvetica"/>
      <w:color w:val="000000"/>
    </w:r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rPr>
      <w:rFonts w:ascii="Calibri" w:eastAsiaTheme="minorHAnsi" w:hAnsi="Calibri" w:cs="Helvetica"/>
      <w:color w:val="000000"/>
    </w:rPr>
  </w:style>
  <w:style w:type="paragraph" w:styleId="FootnoteText">
    <w:name w:val="footnote text"/>
    <w:basedOn w:val="Normal"/>
    <w:link w:val="FootnoteTextChar"/>
    <w:uiPriority w:val="99"/>
    <w:semiHidden/>
    <w:unhideWhenUsed/>
    <w:rsid w:val="00176E3B"/>
    <w:rPr>
      <w:sz w:val="20"/>
      <w:szCs w:val="20"/>
    </w:rPr>
  </w:style>
  <w:style w:type="character" w:customStyle="1" w:styleId="FootnoteTextChar">
    <w:name w:val="Footnote Text Char"/>
    <w:basedOn w:val="DefaultParagraphFont"/>
    <w:link w:val="FootnoteText"/>
    <w:uiPriority w:val="99"/>
    <w:semiHidden/>
    <w:rsid w:val="00176E3B"/>
    <w:rPr>
      <w:rFonts w:ascii="Times New Roman" w:eastAsia="Times New Roman" w:hAnsi="Times New Roman" w:cs="Times New Roman"/>
      <w:color w:val="auto"/>
      <w:sz w:val="20"/>
      <w:szCs w:val="20"/>
    </w:rPr>
  </w:style>
  <w:style w:type="character" w:styleId="FootnoteReference">
    <w:name w:val="footnote reference"/>
    <w:basedOn w:val="DefaultParagraphFont"/>
    <w:uiPriority w:val="99"/>
    <w:semiHidden/>
    <w:unhideWhenUsed/>
    <w:rsid w:val="00176E3B"/>
    <w:rPr>
      <w:vertAlign w:val="superscript"/>
    </w:rPr>
  </w:style>
  <w:style w:type="paragraph" w:styleId="NormalWeb">
    <w:name w:val="Normal (Web)"/>
    <w:basedOn w:val="Normal"/>
    <w:uiPriority w:val="99"/>
    <w:semiHidden/>
    <w:unhideWhenUsed/>
    <w:rsid w:val="001A19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2826">
      <w:bodyDiv w:val="1"/>
      <w:marLeft w:val="0"/>
      <w:marRight w:val="0"/>
      <w:marTop w:val="0"/>
      <w:marBottom w:val="0"/>
      <w:divBdr>
        <w:top w:val="none" w:sz="0" w:space="0" w:color="auto"/>
        <w:left w:val="none" w:sz="0" w:space="0" w:color="auto"/>
        <w:bottom w:val="none" w:sz="0" w:space="0" w:color="auto"/>
        <w:right w:val="none" w:sz="0" w:space="0" w:color="auto"/>
      </w:divBdr>
      <w:divsChild>
        <w:div w:id="1470509588">
          <w:marLeft w:val="0"/>
          <w:marRight w:val="0"/>
          <w:marTop w:val="0"/>
          <w:marBottom w:val="0"/>
          <w:divBdr>
            <w:top w:val="none" w:sz="0" w:space="0" w:color="auto"/>
            <w:left w:val="none" w:sz="0" w:space="0" w:color="auto"/>
            <w:bottom w:val="none" w:sz="0" w:space="0" w:color="auto"/>
            <w:right w:val="none" w:sz="0" w:space="0" w:color="auto"/>
          </w:divBdr>
        </w:div>
        <w:div w:id="1005014392">
          <w:marLeft w:val="0"/>
          <w:marRight w:val="0"/>
          <w:marTop w:val="0"/>
          <w:marBottom w:val="0"/>
          <w:divBdr>
            <w:top w:val="none" w:sz="0" w:space="0" w:color="auto"/>
            <w:left w:val="none" w:sz="0" w:space="0" w:color="auto"/>
            <w:bottom w:val="none" w:sz="0" w:space="0" w:color="auto"/>
            <w:right w:val="none" w:sz="0" w:space="0" w:color="auto"/>
          </w:divBdr>
        </w:div>
        <w:div w:id="403799568">
          <w:marLeft w:val="0"/>
          <w:marRight w:val="0"/>
          <w:marTop w:val="0"/>
          <w:marBottom w:val="0"/>
          <w:divBdr>
            <w:top w:val="none" w:sz="0" w:space="0" w:color="auto"/>
            <w:left w:val="none" w:sz="0" w:space="0" w:color="auto"/>
            <w:bottom w:val="none" w:sz="0" w:space="0" w:color="auto"/>
            <w:right w:val="none" w:sz="0" w:space="0" w:color="auto"/>
          </w:divBdr>
        </w:div>
        <w:div w:id="1336612808">
          <w:marLeft w:val="0"/>
          <w:marRight w:val="0"/>
          <w:marTop w:val="0"/>
          <w:marBottom w:val="0"/>
          <w:divBdr>
            <w:top w:val="none" w:sz="0" w:space="0" w:color="auto"/>
            <w:left w:val="none" w:sz="0" w:space="0" w:color="auto"/>
            <w:bottom w:val="none" w:sz="0" w:space="0" w:color="auto"/>
            <w:right w:val="none" w:sz="0" w:space="0" w:color="auto"/>
          </w:divBdr>
        </w:div>
        <w:div w:id="1437555085">
          <w:marLeft w:val="0"/>
          <w:marRight w:val="0"/>
          <w:marTop w:val="0"/>
          <w:marBottom w:val="0"/>
          <w:divBdr>
            <w:top w:val="none" w:sz="0" w:space="0" w:color="auto"/>
            <w:left w:val="none" w:sz="0" w:space="0" w:color="auto"/>
            <w:bottom w:val="none" w:sz="0" w:space="0" w:color="auto"/>
            <w:right w:val="none" w:sz="0" w:space="0" w:color="auto"/>
          </w:divBdr>
        </w:div>
      </w:divsChild>
    </w:div>
    <w:div w:id="229733790">
      <w:bodyDiv w:val="1"/>
      <w:marLeft w:val="0"/>
      <w:marRight w:val="0"/>
      <w:marTop w:val="0"/>
      <w:marBottom w:val="0"/>
      <w:divBdr>
        <w:top w:val="none" w:sz="0" w:space="0" w:color="auto"/>
        <w:left w:val="none" w:sz="0" w:space="0" w:color="auto"/>
        <w:bottom w:val="none" w:sz="0" w:space="0" w:color="auto"/>
        <w:right w:val="none" w:sz="0" w:space="0" w:color="auto"/>
      </w:divBdr>
      <w:divsChild>
        <w:div w:id="1522284349">
          <w:marLeft w:val="0"/>
          <w:marRight w:val="0"/>
          <w:marTop w:val="0"/>
          <w:marBottom w:val="0"/>
          <w:divBdr>
            <w:top w:val="none" w:sz="0" w:space="0" w:color="auto"/>
            <w:left w:val="none" w:sz="0" w:space="0" w:color="auto"/>
            <w:bottom w:val="none" w:sz="0" w:space="0" w:color="auto"/>
            <w:right w:val="none" w:sz="0" w:space="0" w:color="auto"/>
          </w:divBdr>
        </w:div>
        <w:div w:id="380834870">
          <w:marLeft w:val="0"/>
          <w:marRight w:val="0"/>
          <w:marTop w:val="0"/>
          <w:marBottom w:val="0"/>
          <w:divBdr>
            <w:top w:val="none" w:sz="0" w:space="0" w:color="auto"/>
            <w:left w:val="none" w:sz="0" w:space="0" w:color="auto"/>
            <w:bottom w:val="none" w:sz="0" w:space="0" w:color="auto"/>
            <w:right w:val="none" w:sz="0" w:space="0" w:color="auto"/>
          </w:divBdr>
        </w:div>
        <w:div w:id="2079864630">
          <w:marLeft w:val="0"/>
          <w:marRight w:val="0"/>
          <w:marTop w:val="0"/>
          <w:marBottom w:val="0"/>
          <w:divBdr>
            <w:top w:val="none" w:sz="0" w:space="0" w:color="auto"/>
            <w:left w:val="none" w:sz="0" w:space="0" w:color="auto"/>
            <w:bottom w:val="none" w:sz="0" w:space="0" w:color="auto"/>
            <w:right w:val="none" w:sz="0" w:space="0" w:color="auto"/>
          </w:divBdr>
        </w:div>
        <w:div w:id="955940018">
          <w:marLeft w:val="0"/>
          <w:marRight w:val="0"/>
          <w:marTop w:val="0"/>
          <w:marBottom w:val="0"/>
          <w:divBdr>
            <w:top w:val="none" w:sz="0" w:space="0" w:color="auto"/>
            <w:left w:val="none" w:sz="0" w:space="0" w:color="auto"/>
            <w:bottom w:val="none" w:sz="0" w:space="0" w:color="auto"/>
            <w:right w:val="none" w:sz="0" w:space="0" w:color="auto"/>
          </w:divBdr>
        </w:div>
        <w:div w:id="1732343051">
          <w:marLeft w:val="0"/>
          <w:marRight w:val="0"/>
          <w:marTop w:val="0"/>
          <w:marBottom w:val="0"/>
          <w:divBdr>
            <w:top w:val="none" w:sz="0" w:space="0" w:color="auto"/>
            <w:left w:val="none" w:sz="0" w:space="0" w:color="auto"/>
            <w:bottom w:val="none" w:sz="0" w:space="0" w:color="auto"/>
            <w:right w:val="none" w:sz="0" w:space="0" w:color="auto"/>
          </w:divBdr>
        </w:div>
        <w:div w:id="1245140338">
          <w:marLeft w:val="0"/>
          <w:marRight w:val="0"/>
          <w:marTop w:val="0"/>
          <w:marBottom w:val="0"/>
          <w:divBdr>
            <w:top w:val="none" w:sz="0" w:space="0" w:color="auto"/>
            <w:left w:val="none" w:sz="0" w:space="0" w:color="auto"/>
            <w:bottom w:val="none" w:sz="0" w:space="0" w:color="auto"/>
            <w:right w:val="none" w:sz="0" w:space="0" w:color="auto"/>
          </w:divBdr>
        </w:div>
        <w:div w:id="127820251">
          <w:marLeft w:val="0"/>
          <w:marRight w:val="0"/>
          <w:marTop w:val="0"/>
          <w:marBottom w:val="0"/>
          <w:divBdr>
            <w:top w:val="none" w:sz="0" w:space="0" w:color="auto"/>
            <w:left w:val="none" w:sz="0" w:space="0" w:color="auto"/>
            <w:bottom w:val="none" w:sz="0" w:space="0" w:color="auto"/>
            <w:right w:val="none" w:sz="0" w:space="0" w:color="auto"/>
          </w:divBdr>
        </w:div>
        <w:div w:id="906497004">
          <w:marLeft w:val="0"/>
          <w:marRight w:val="0"/>
          <w:marTop w:val="0"/>
          <w:marBottom w:val="0"/>
          <w:divBdr>
            <w:top w:val="none" w:sz="0" w:space="0" w:color="auto"/>
            <w:left w:val="none" w:sz="0" w:space="0" w:color="auto"/>
            <w:bottom w:val="none" w:sz="0" w:space="0" w:color="auto"/>
            <w:right w:val="none" w:sz="0" w:space="0" w:color="auto"/>
          </w:divBdr>
        </w:div>
        <w:div w:id="343022898">
          <w:marLeft w:val="0"/>
          <w:marRight w:val="0"/>
          <w:marTop w:val="0"/>
          <w:marBottom w:val="0"/>
          <w:divBdr>
            <w:top w:val="none" w:sz="0" w:space="0" w:color="auto"/>
            <w:left w:val="none" w:sz="0" w:space="0" w:color="auto"/>
            <w:bottom w:val="none" w:sz="0" w:space="0" w:color="auto"/>
            <w:right w:val="none" w:sz="0" w:space="0" w:color="auto"/>
          </w:divBdr>
        </w:div>
        <w:div w:id="96605236">
          <w:marLeft w:val="0"/>
          <w:marRight w:val="0"/>
          <w:marTop w:val="0"/>
          <w:marBottom w:val="0"/>
          <w:divBdr>
            <w:top w:val="none" w:sz="0" w:space="0" w:color="auto"/>
            <w:left w:val="none" w:sz="0" w:space="0" w:color="auto"/>
            <w:bottom w:val="none" w:sz="0" w:space="0" w:color="auto"/>
            <w:right w:val="none" w:sz="0" w:space="0" w:color="auto"/>
          </w:divBdr>
        </w:div>
      </w:divsChild>
    </w:div>
    <w:div w:id="278075867">
      <w:bodyDiv w:val="1"/>
      <w:marLeft w:val="0"/>
      <w:marRight w:val="0"/>
      <w:marTop w:val="0"/>
      <w:marBottom w:val="0"/>
      <w:divBdr>
        <w:top w:val="none" w:sz="0" w:space="0" w:color="auto"/>
        <w:left w:val="none" w:sz="0" w:space="0" w:color="auto"/>
        <w:bottom w:val="none" w:sz="0" w:space="0" w:color="auto"/>
        <w:right w:val="none" w:sz="0" w:space="0" w:color="auto"/>
      </w:divBdr>
    </w:div>
    <w:div w:id="328558617">
      <w:bodyDiv w:val="1"/>
      <w:marLeft w:val="0"/>
      <w:marRight w:val="0"/>
      <w:marTop w:val="0"/>
      <w:marBottom w:val="0"/>
      <w:divBdr>
        <w:top w:val="none" w:sz="0" w:space="0" w:color="auto"/>
        <w:left w:val="none" w:sz="0" w:space="0" w:color="auto"/>
        <w:bottom w:val="none" w:sz="0" w:space="0" w:color="auto"/>
        <w:right w:val="none" w:sz="0" w:space="0" w:color="auto"/>
      </w:divBdr>
      <w:divsChild>
        <w:div w:id="1649164025">
          <w:marLeft w:val="0"/>
          <w:marRight w:val="0"/>
          <w:marTop w:val="0"/>
          <w:marBottom w:val="0"/>
          <w:divBdr>
            <w:top w:val="none" w:sz="0" w:space="0" w:color="auto"/>
            <w:left w:val="none" w:sz="0" w:space="0" w:color="auto"/>
            <w:bottom w:val="none" w:sz="0" w:space="0" w:color="auto"/>
            <w:right w:val="none" w:sz="0" w:space="0" w:color="auto"/>
          </w:divBdr>
        </w:div>
        <w:div w:id="2058240996">
          <w:marLeft w:val="0"/>
          <w:marRight w:val="0"/>
          <w:marTop w:val="0"/>
          <w:marBottom w:val="0"/>
          <w:divBdr>
            <w:top w:val="none" w:sz="0" w:space="0" w:color="auto"/>
            <w:left w:val="none" w:sz="0" w:space="0" w:color="auto"/>
            <w:bottom w:val="none" w:sz="0" w:space="0" w:color="auto"/>
            <w:right w:val="none" w:sz="0" w:space="0" w:color="auto"/>
          </w:divBdr>
        </w:div>
        <w:div w:id="602347239">
          <w:marLeft w:val="0"/>
          <w:marRight w:val="0"/>
          <w:marTop w:val="0"/>
          <w:marBottom w:val="0"/>
          <w:divBdr>
            <w:top w:val="none" w:sz="0" w:space="0" w:color="auto"/>
            <w:left w:val="none" w:sz="0" w:space="0" w:color="auto"/>
            <w:bottom w:val="none" w:sz="0" w:space="0" w:color="auto"/>
            <w:right w:val="none" w:sz="0" w:space="0" w:color="auto"/>
          </w:divBdr>
        </w:div>
        <w:div w:id="614335853">
          <w:marLeft w:val="0"/>
          <w:marRight w:val="0"/>
          <w:marTop w:val="0"/>
          <w:marBottom w:val="0"/>
          <w:divBdr>
            <w:top w:val="none" w:sz="0" w:space="0" w:color="auto"/>
            <w:left w:val="none" w:sz="0" w:space="0" w:color="auto"/>
            <w:bottom w:val="none" w:sz="0" w:space="0" w:color="auto"/>
            <w:right w:val="none" w:sz="0" w:space="0" w:color="auto"/>
          </w:divBdr>
        </w:div>
        <w:div w:id="615717139">
          <w:marLeft w:val="0"/>
          <w:marRight w:val="0"/>
          <w:marTop w:val="0"/>
          <w:marBottom w:val="0"/>
          <w:divBdr>
            <w:top w:val="none" w:sz="0" w:space="0" w:color="auto"/>
            <w:left w:val="none" w:sz="0" w:space="0" w:color="auto"/>
            <w:bottom w:val="none" w:sz="0" w:space="0" w:color="auto"/>
            <w:right w:val="none" w:sz="0" w:space="0" w:color="auto"/>
          </w:divBdr>
        </w:div>
        <w:div w:id="1930506961">
          <w:marLeft w:val="0"/>
          <w:marRight w:val="0"/>
          <w:marTop w:val="0"/>
          <w:marBottom w:val="0"/>
          <w:divBdr>
            <w:top w:val="none" w:sz="0" w:space="0" w:color="auto"/>
            <w:left w:val="none" w:sz="0" w:space="0" w:color="auto"/>
            <w:bottom w:val="none" w:sz="0" w:space="0" w:color="auto"/>
            <w:right w:val="none" w:sz="0" w:space="0" w:color="auto"/>
          </w:divBdr>
        </w:div>
        <w:div w:id="82189231">
          <w:marLeft w:val="0"/>
          <w:marRight w:val="0"/>
          <w:marTop w:val="0"/>
          <w:marBottom w:val="0"/>
          <w:divBdr>
            <w:top w:val="none" w:sz="0" w:space="0" w:color="auto"/>
            <w:left w:val="none" w:sz="0" w:space="0" w:color="auto"/>
            <w:bottom w:val="none" w:sz="0" w:space="0" w:color="auto"/>
            <w:right w:val="none" w:sz="0" w:space="0" w:color="auto"/>
          </w:divBdr>
        </w:div>
        <w:div w:id="321544393">
          <w:marLeft w:val="0"/>
          <w:marRight w:val="0"/>
          <w:marTop w:val="0"/>
          <w:marBottom w:val="0"/>
          <w:divBdr>
            <w:top w:val="none" w:sz="0" w:space="0" w:color="auto"/>
            <w:left w:val="none" w:sz="0" w:space="0" w:color="auto"/>
            <w:bottom w:val="none" w:sz="0" w:space="0" w:color="auto"/>
            <w:right w:val="none" w:sz="0" w:space="0" w:color="auto"/>
          </w:divBdr>
        </w:div>
      </w:divsChild>
    </w:div>
    <w:div w:id="347682032">
      <w:bodyDiv w:val="1"/>
      <w:marLeft w:val="0"/>
      <w:marRight w:val="0"/>
      <w:marTop w:val="0"/>
      <w:marBottom w:val="0"/>
      <w:divBdr>
        <w:top w:val="none" w:sz="0" w:space="0" w:color="auto"/>
        <w:left w:val="none" w:sz="0" w:space="0" w:color="auto"/>
        <w:bottom w:val="none" w:sz="0" w:space="0" w:color="auto"/>
        <w:right w:val="none" w:sz="0" w:space="0" w:color="auto"/>
      </w:divBdr>
    </w:div>
    <w:div w:id="445001520">
      <w:bodyDiv w:val="1"/>
      <w:marLeft w:val="0"/>
      <w:marRight w:val="0"/>
      <w:marTop w:val="0"/>
      <w:marBottom w:val="0"/>
      <w:divBdr>
        <w:top w:val="none" w:sz="0" w:space="0" w:color="auto"/>
        <w:left w:val="none" w:sz="0" w:space="0" w:color="auto"/>
        <w:bottom w:val="none" w:sz="0" w:space="0" w:color="auto"/>
        <w:right w:val="none" w:sz="0" w:space="0" w:color="auto"/>
      </w:divBdr>
    </w:div>
    <w:div w:id="469634817">
      <w:bodyDiv w:val="1"/>
      <w:marLeft w:val="0"/>
      <w:marRight w:val="0"/>
      <w:marTop w:val="0"/>
      <w:marBottom w:val="0"/>
      <w:divBdr>
        <w:top w:val="none" w:sz="0" w:space="0" w:color="auto"/>
        <w:left w:val="none" w:sz="0" w:space="0" w:color="auto"/>
        <w:bottom w:val="none" w:sz="0" w:space="0" w:color="auto"/>
        <w:right w:val="none" w:sz="0" w:space="0" w:color="auto"/>
      </w:divBdr>
    </w:div>
    <w:div w:id="566185651">
      <w:bodyDiv w:val="1"/>
      <w:marLeft w:val="0"/>
      <w:marRight w:val="0"/>
      <w:marTop w:val="0"/>
      <w:marBottom w:val="0"/>
      <w:divBdr>
        <w:top w:val="none" w:sz="0" w:space="0" w:color="auto"/>
        <w:left w:val="none" w:sz="0" w:space="0" w:color="auto"/>
        <w:bottom w:val="none" w:sz="0" w:space="0" w:color="auto"/>
        <w:right w:val="none" w:sz="0" w:space="0" w:color="auto"/>
      </w:divBdr>
    </w:div>
    <w:div w:id="572205346">
      <w:bodyDiv w:val="1"/>
      <w:marLeft w:val="0"/>
      <w:marRight w:val="0"/>
      <w:marTop w:val="0"/>
      <w:marBottom w:val="0"/>
      <w:divBdr>
        <w:top w:val="none" w:sz="0" w:space="0" w:color="auto"/>
        <w:left w:val="none" w:sz="0" w:space="0" w:color="auto"/>
        <w:bottom w:val="none" w:sz="0" w:space="0" w:color="auto"/>
        <w:right w:val="none" w:sz="0" w:space="0" w:color="auto"/>
      </w:divBdr>
      <w:divsChild>
        <w:div w:id="1802141389">
          <w:marLeft w:val="0"/>
          <w:marRight w:val="0"/>
          <w:marTop w:val="0"/>
          <w:marBottom w:val="0"/>
          <w:divBdr>
            <w:top w:val="none" w:sz="0" w:space="0" w:color="auto"/>
            <w:left w:val="none" w:sz="0" w:space="0" w:color="auto"/>
            <w:bottom w:val="none" w:sz="0" w:space="0" w:color="auto"/>
            <w:right w:val="none" w:sz="0" w:space="0" w:color="auto"/>
          </w:divBdr>
        </w:div>
        <w:div w:id="887036986">
          <w:marLeft w:val="0"/>
          <w:marRight w:val="0"/>
          <w:marTop w:val="0"/>
          <w:marBottom w:val="0"/>
          <w:divBdr>
            <w:top w:val="none" w:sz="0" w:space="0" w:color="auto"/>
            <w:left w:val="none" w:sz="0" w:space="0" w:color="auto"/>
            <w:bottom w:val="none" w:sz="0" w:space="0" w:color="auto"/>
            <w:right w:val="none" w:sz="0" w:space="0" w:color="auto"/>
          </w:divBdr>
        </w:div>
        <w:div w:id="2120173504">
          <w:marLeft w:val="0"/>
          <w:marRight w:val="0"/>
          <w:marTop w:val="0"/>
          <w:marBottom w:val="0"/>
          <w:divBdr>
            <w:top w:val="none" w:sz="0" w:space="0" w:color="auto"/>
            <w:left w:val="none" w:sz="0" w:space="0" w:color="auto"/>
            <w:bottom w:val="none" w:sz="0" w:space="0" w:color="auto"/>
            <w:right w:val="none" w:sz="0" w:space="0" w:color="auto"/>
          </w:divBdr>
        </w:div>
      </w:divsChild>
    </w:div>
    <w:div w:id="610236232">
      <w:bodyDiv w:val="1"/>
      <w:marLeft w:val="0"/>
      <w:marRight w:val="0"/>
      <w:marTop w:val="0"/>
      <w:marBottom w:val="0"/>
      <w:divBdr>
        <w:top w:val="none" w:sz="0" w:space="0" w:color="auto"/>
        <w:left w:val="none" w:sz="0" w:space="0" w:color="auto"/>
        <w:bottom w:val="none" w:sz="0" w:space="0" w:color="auto"/>
        <w:right w:val="none" w:sz="0" w:space="0" w:color="auto"/>
      </w:divBdr>
      <w:divsChild>
        <w:div w:id="598030918">
          <w:marLeft w:val="0"/>
          <w:marRight w:val="0"/>
          <w:marTop w:val="0"/>
          <w:marBottom w:val="0"/>
          <w:divBdr>
            <w:top w:val="none" w:sz="0" w:space="0" w:color="auto"/>
            <w:left w:val="none" w:sz="0" w:space="0" w:color="auto"/>
            <w:bottom w:val="none" w:sz="0" w:space="0" w:color="auto"/>
            <w:right w:val="none" w:sz="0" w:space="0" w:color="auto"/>
          </w:divBdr>
        </w:div>
        <w:div w:id="985010554">
          <w:marLeft w:val="0"/>
          <w:marRight w:val="0"/>
          <w:marTop w:val="0"/>
          <w:marBottom w:val="0"/>
          <w:divBdr>
            <w:top w:val="none" w:sz="0" w:space="0" w:color="auto"/>
            <w:left w:val="none" w:sz="0" w:space="0" w:color="auto"/>
            <w:bottom w:val="none" w:sz="0" w:space="0" w:color="auto"/>
            <w:right w:val="none" w:sz="0" w:space="0" w:color="auto"/>
          </w:divBdr>
        </w:div>
        <w:div w:id="186984792">
          <w:marLeft w:val="0"/>
          <w:marRight w:val="0"/>
          <w:marTop w:val="0"/>
          <w:marBottom w:val="0"/>
          <w:divBdr>
            <w:top w:val="none" w:sz="0" w:space="0" w:color="auto"/>
            <w:left w:val="none" w:sz="0" w:space="0" w:color="auto"/>
            <w:bottom w:val="none" w:sz="0" w:space="0" w:color="auto"/>
            <w:right w:val="none" w:sz="0" w:space="0" w:color="auto"/>
          </w:divBdr>
        </w:div>
      </w:divsChild>
    </w:div>
    <w:div w:id="709376576">
      <w:bodyDiv w:val="1"/>
      <w:marLeft w:val="0"/>
      <w:marRight w:val="0"/>
      <w:marTop w:val="0"/>
      <w:marBottom w:val="0"/>
      <w:divBdr>
        <w:top w:val="none" w:sz="0" w:space="0" w:color="auto"/>
        <w:left w:val="none" w:sz="0" w:space="0" w:color="auto"/>
        <w:bottom w:val="none" w:sz="0" w:space="0" w:color="auto"/>
        <w:right w:val="none" w:sz="0" w:space="0" w:color="auto"/>
      </w:divBdr>
      <w:divsChild>
        <w:div w:id="2072728643">
          <w:marLeft w:val="0"/>
          <w:marRight w:val="0"/>
          <w:marTop w:val="0"/>
          <w:marBottom w:val="0"/>
          <w:divBdr>
            <w:top w:val="none" w:sz="0" w:space="0" w:color="auto"/>
            <w:left w:val="none" w:sz="0" w:space="0" w:color="auto"/>
            <w:bottom w:val="none" w:sz="0" w:space="0" w:color="auto"/>
            <w:right w:val="none" w:sz="0" w:space="0" w:color="auto"/>
          </w:divBdr>
        </w:div>
        <w:div w:id="591939186">
          <w:marLeft w:val="0"/>
          <w:marRight w:val="0"/>
          <w:marTop w:val="0"/>
          <w:marBottom w:val="0"/>
          <w:divBdr>
            <w:top w:val="none" w:sz="0" w:space="0" w:color="auto"/>
            <w:left w:val="none" w:sz="0" w:space="0" w:color="auto"/>
            <w:bottom w:val="none" w:sz="0" w:space="0" w:color="auto"/>
            <w:right w:val="none" w:sz="0" w:space="0" w:color="auto"/>
          </w:divBdr>
        </w:div>
        <w:div w:id="298196736">
          <w:marLeft w:val="0"/>
          <w:marRight w:val="0"/>
          <w:marTop w:val="0"/>
          <w:marBottom w:val="0"/>
          <w:divBdr>
            <w:top w:val="none" w:sz="0" w:space="0" w:color="auto"/>
            <w:left w:val="none" w:sz="0" w:space="0" w:color="auto"/>
            <w:bottom w:val="none" w:sz="0" w:space="0" w:color="auto"/>
            <w:right w:val="none" w:sz="0" w:space="0" w:color="auto"/>
          </w:divBdr>
        </w:div>
        <w:div w:id="1618027439">
          <w:marLeft w:val="0"/>
          <w:marRight w:val="0"/>
          <w:marTop w:val="0"/>
          <w:marBottom w:val="0"/>
          <w:divBdr>
            <w:top w:val="none" w:sz="0" w:space="0" w:color="auto"/>
            <w:left w:val="none" w:sz="0" w:space="0" w:color="auto"/>
            <w:bottom w:val="none" w:sz="0" w:space="0" w:color="auto"/>
            <w:right w:val="none" w:sz="0" w:space="0" w:color="auto"/>
          </w:divBdr>
        </w:div>
        <w:div w:id="198205632">
          <w:marLeft w:val="0"/>
          <w:marRight w:val="0"/>
          <w:marTop w:val="0"/>
          <w:marBottom w:val="0"/>
          <w:divBdr>
            <w:top w:val="none" w:sz="0" w:space="0" w:color="auto"/>
            <w:left w:val="none" w:sz="0" w:space="0" w:color="auto"/>
            <w:bottom w:val="none" w:sz="0" w:space="0" w:color="auto"/>
            <w:right w:val="none" w:sz="0" w:space="0" w:color="auto"/>
          </w:divBdr>
        </w:div>
        <w:div w:id="1196036925">
          <w:marLeft w:val="0"/>
          <w:marRight w:val="0"/>
          <w:marTop w:val="0"/>
          <w:marBottom w:val="0"/>
          <w:divBdr>
            <w:top w:val="none" w:sz="0" w:space="0" w:color="auto"/>
            <w:left w:val="none" w:sz="0" w:space="0" w:color="auto"/>
            <w:bottom w:val="none" w:sz="0" w:space="0" w:color="auto"/>
            <w:right w:val="none" w:sz="0" w:space="0" w:color="auto"/>
          </w:divBdr>
        </w:div>
      </w:divsChild>
    </w:div>
    <w:div w:id="781267857">
      <w:bodyDiv w:val="1"/>
      <w:marLeft w:val="0"/>
      <w:marRight w:val="0"/>
      <w:marTop w:val="0"/>
      <w:marBottom w:val="0"/>
      <w:divBdr>
        <w:top w:val="none" w:sz="0" w:space="0" w:color="auto"/>
        <w:left w:val="none" w:sz="0" w:space="0" w:color="auto"/>
        <w:bottom w:val="none" w:sz="0" w:space="0" w:color="auto"/>
        <w:right w:val="none" w:sz="0" w:space="0" w:color="auto"/>
      </w:divBdr>
    </w:div>
    <w:div w:id="902254719">
      <w:bodyDiv w:val="1"/>
      <w:marLeft w:val="0"/>
      <w:marRight w:val="0"/>
      <w:marTop w:val="0"/>
      <w:marBottom w:val="0"/>
      <w:divBdr>
        <w:top w:val="none" w:sz="0" w:space="0" w:color="auto"/>
        <w:left w:val="none" w:sz="0" w:space="0" w:color="auto"/>
        <w:bottom w:val="none" w:sz="0" w:space="0" w:color="auto"/>
        <w:right w:val="none" w:sz="0" w:space="0" w:color="auto"/>
      </w:divBdr>
      <w:divsChild>
        <w:div w:id="1165244855">
          <w:marLeft w:val="0"/>
          <w:marRight w:val="0"/>
          <w:marTop w:val="0"/>
          <w:marBottom w:val="0"/>
          <w:divBdr>
            <w:top w:val="none" w:sz="0" w:space="0" w:color="auto"/>
            <w:left w:val="none" w:sz="0" w:space="0" w:color="auto"/>
            <w:bottom w:val="none" w:sz="0" w:space="0" w:color="auto"/>
            <w:right w:val="none" w:sz="0" w:space="0" w:color="auto"/>
          </w:divBdr>
        </w:div>
        <w:div w:id="1216939424">
          <w:marLeft w:val="0"/>
          <w:marRight w:val="0"/>
          <w:marTop w:val="0"/>
          <w:marBottom w:val="0"/>
          <w:divBdr>
            <w:top w:val="none" w:sz="0" w:space="0" w:color="auto"/>
            <w:left w:val="none" w:sz="0" w:space="0" w:color="auto"/>
            <w:bottom w:val="none" w:sz="0" w:space="0" w:color="auto"/>
            <w:right w:val="none" w:sz="0" w:space="0" w:color="auto"/>
          </w:divBdr>
        </w:div>
        <w:div w:id="1140539358">
          <w:marLeft w:val="0"/>
          <w:marRight w:val="0"/>
          <w:marTop w:val="0"/>
          <w:marBottom w:val="0"/>
          <w:divBdr>
            <w:top w:val="none" w:sz="0" w:space="0" w:color="auto"/>
            <w:left w:val="none" w:sz="0" w:space="0" w:color="auto"/>
            <w:bottom w:val="none" w:sz="0" w:space="0" w:color="auto"/>
            <w:right w:val="none" w:sz="0" w:space="0" w:color="auto"/>
          </w:divBdr>
        </w:div>
        <w:div w:id="902058104">
          <w:marLeft w:val="0"/>
          <w:marRight w:val="0"/>
          <w:marTop w:val="0"/>
          <w:marBottom w:val="0"/>
          <w:divBdr>
            <w:top w:val="none" w:sz="0" w:space="0" w:color="auto"/>
            <w:left w:val="none" w:sz="0" w:space="0" w:color="auto"/>
            <w:bottom w:val="none" w:sz="0" w:space="0" w:color="auto"/>
            <w:right w:val="none" w:sz="0" w:space="0" w:color="auto"/>
          </w:divBdr>
        </w:div>
        <w:div w:id="683046938">
          <w:marLeft w:val="0"/>
          <w:marRight w:val="0"/>
          <w:marTop w:val="0"/>
          <w:marBottom w:val="0"/>
          <w:divBdr>
            <w:top w:val="none" w:sz="0" w:space="0" w:color="auto"/>
            <w:left w:val="none" w:sz="0" w:space="0" w:color="auto"/>
            <w:bottom w:val="none" w:sz="0" w:space="0" w:color="auto"/>
            <w:right w:val="none" w:sz="0" w:space="0" w:color="auto"/>
          </w:divBdr>
        </w:div>
        <w:div w:id="581111653">
          <w:marLeft w:val="0"/>
          <w:marRight w:val="0"/>
          <w:marTop w:val="0"/>
          <w:marBottom w:val="0"/>
          <w:divBdr>
            <w:top w:val="none" w:sz="0" w:space="0" w:color="auto"/>
            <w:left w:val="none" w:sz="0" w:space="0" w:color="auto"/>
            <w:bottom w:val="none" w:sz="0" w:space="0" w:color="auto"/>
            <w:right w:val="none" w:sz="0" w:space="0" w:color="auto"/>
          </w:divBdr>
        </w:div>
        <w:div w:id="833303598">
          <w:marLeft w:val="0"/>
          <w:marRight w:val="0"/>
          <w:marTop w:val="0"/>
          <w:marBottom w:val="0"/>
          <w:divBdr>
            <w:top w:val="none" w:sz="0" w:space="0" w:color="auto"/>
            <w:left w:val="none" w:sz="0" w:space="0" w:color="auto"/>
            <w:bottom w:val="none" w:sz="0" w:space="0" w:color="auto"/>
            <w:right w:val="none" w:sz="0" w:space="0" w:color="auto"/>
          </w:divBdr>
        </w:div>
        <w:div w:id="1800487498">
          <w:marLeft w:val="0"/>
          <w:marRight w:val="0"/>
          <w:marTop w:val="0"/>
          <w:marBottom w:val="0"/>
          <w:divBdr>
            <w:top w:val="none" w:sz="0" w:space="0" w:color="auto"/>
            <w:left w:val="none" w:sz="0" w:space="0" w:color="auto"/>
            <w:bottom w:val="none" w:sz="0" w:space="0" w:color="auto"/>
            <w:right w:val="none" w:sz="0" w:space="0" w:color="auto"/>
          </w:divBdr>
        </w:div>
      </w:divsChild>
    </w:div>
    <w:div w:id="1039477670">
      <w:bodyDiv w:val="1"/>
      <w:marLeft w:val="0"/>
      <w:marRight w:val="0"/>
      <w:marTop w:val="0"/>
      <w:marBottom w:val="0"/>
      <w:divBdr>
        <w:top w:val="none" w:sz="0" w:space="0" w:color="auto"/>
        <w:left w:val="none" w:sz="0" w:space="0" w:color="auto"/>
        <w:bottom w:val="none" w:sz="0" w:space="0" w:color="auto"/>
        <w:right w:val="none" w:sz="0" w:space="0" w:color="auto"/>
      </w:divBdr>
    </w:div>
    <w:div w:id="1141994488">
      <w:bodyDiv w:val="1"/>
      <w:marLeft w:val="0"/>
      <w:marRight w:val="0"/>
      <w:marTop w:val="0"/>
      <w:marBottom w:val="0"/>
      <w:divBdr>
        <w:top w:val="none" w:sz="0" w:space="0" w:color="auto"/>
        <w:left w:val="none" w:sz="0" w:space="0" w:color="auto"/>
        <w:bottom w:val="none" w:sz="0" w:space="0" w:color="auto"/>
        <w:right w:val="none" w:sz="0" w:space="0" w:color="auto"/>
      </w:divBdr>
      <w:divsChild>
        <w:div w:id="581645108">
          <w:marLeft w:val="0"/>
          <w:marRight w:val="0"/>
          <w:marTop w:val="0"/>
          <w:marBottom w:val="0"/>
          <w:divBdr>
            <w:top w:val="none" w:sz="0" w:space="0" w:color="auto"/>
            <w:left w:val="none" w:sz="0" w:space="0" w:color="auto"/>
            <w:bottom w:val="none" w:sz="0" w:space="0" w:color="auto"/>
            <w:right w:val="none" w:sz="0" w:space="0" w:color="auto"/>
          </w:divBdr>
        </w:div>
        <w:div w:id="1560630023">
          <w:marLeft w:val="0"/>
          <w:marRight w:val="0"/>
          <w:marTop w:val="0"/>
          <w:marBottom w:val="0"/>
          <w:divBdr>
            <w:top w:val="none" w:sz="0" w:space="0" w:color="auto"/>
            <w:left w:val="none" w:sz="0" w:space="0" w:color="auto"/>
            <w:bottom w:val="none" w:sz="0" w:space="0" w:color="auto"/>
            <w:right w:val="none" w:sz="0" w:space="0" w:color="auto"/>
          </w:divBdr>
        </w:div>
      </w:divsChild>
    </w:div>
    <w:div w:id="1189830726">
      <w:bodyDiv w:val="1"/>
      <w:marLeft w:val="0"/>
      <w:marRight w:val="0"/>
      <w:marTop w:val="0"/>
      <w:marBottom w:val="0"/>
      <w:divBdr>
        <w:top w:val="none" w:sz="0" w:space="0" w:color="auto"/>
        <w:left w:val="none" w:sz="0" w:space="0" w:color="auto"/>
        <w:bottom w:val="none" w:sz="0" w:space="0" w:color="auto"/>
        <w:right w:val="none" w:sz="0" w:space="0" w:color="auto"/>
      </w:divBdr>
    </w:div>
    <w:div w:id="1198816017">
      <w:bodyDiv w:val="1"/>
      <w:marLeft w:val="0"/>
      <w:marRight w:val="0"/>
      <w:marTop w:val="0"/>
      <w:marBottom w:val="0"/>
      <w:divBdr>
        <w:top w:val="none" w:sz="0" w:space="0" w:color="auto"/>
        <w:left w:val="none" w:sz="0" w:space="0" w:color="auto"/>
        <w:bottom w:val="none" w:sz="0" w:space="0" w:color="auto"/>
        <w:right w:val="none" w:sz="0" w:space="0" w:color="auto"/>
      </w:divBdr>
      <w:divsChild>
        <w:div w:id="224922206">
          <w:marLeft w:val="0"/>
          <w:marRight w:val="0"/>
          <w:marTop w:val="0"/>
          <w:marBottom w:val="0"/>
          <w:divBdr>
            <w:top w:val="none" w:sz="0" w:space="0" w:color="auto"/>
            <w:left w:val="none" w:sz="0" w:space="0" w:color="auto"/>
            <w:bottom w:val="none" w:sz="0" w:space="0" w:color="auto"/>
            <w:right w:val="none" w:sz="0" w:space="0" w:color="auto"/>
          </w:divBdr>
          <w:divsChild>
            <w:div w:id="993098507">
              <w:marLeft w:val="0"/>
              <w:marRight w:val="0"/>
              <w:marTop w:val="0"/>
              <w:marBottom w:val="0"/>
              <w:divBdr>
                <w:top w:val="none" w:sz="0" w:space="0" w:color="auto"/>
                <w:left w:val="none" w:sz="0" w:space="0" w:color="auto"/>
                <w:bottom w:val="none" w:sz="0" w:space="0" w:color="auto"/>
                <w:right w:val="none" w:sz="0" w:space="0" w:color="auto"/>
              </w:divBdr>
              <w:divsChild>
                <w:div w:id="462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0503">
      <w:bodyDiv w:val="1"/>
      <w:marLeft w:val="0"/>
      <w:marRight w:val="0"/>
      <w:marTop w:val="0"/>
      <w:marBottom w:val="0"/>
      <w:divBdr>
        <w:top w:val="none" w:sz="0" w:space="0" w:color="auto"/>
        <w:left w:val="none" w:sz="0" w:space="0" w:color="auto"/>
        <w:bottom w:val="none" w:sz="0" w:space="0" w:color="auto"/>
        <w:right w:val="none" w:sz="0" w:space="0" w:color="auto"/>
      </w:divBdr>
      <w:divsChild>
        <w:div w:id="2072381683">
          <w:marLeft w:val="0"/>
          <w:marRight w:val="0"/>
          <w:marTop w:val="0"/>
          <w:marBottom w:val="0"/>
          <w:divBdr>
            <w:top w:val="none" w:sz="0" w:space="0" w:color="auto"/>
            <w:left w:val="none" w:sz="0" w:space="0" w:color="auto"/>
            <w:bottom w:val="none" w:sz="0" w:space="0" w:color="auto"/>
            <w:right w:val="none" w:sz="0" w:space="0" w:color="auto"/>
          </w:divBdr>
        </w:div>
        <w:div w:id="1682702632">
          <w:marLeft w:val="0"/>
          <w:marRight w:val="0"/>
          <w:marTop w:val="0"/>
          <w:marBottom w:val="0"/>
          <w:divBdr>
            <w:top w:val="none" w:sz="0" w:space="0" w:color="auto"/>
            <w:left w:val="none" w:sz="0" w:space="0" w:color="auto"/>
            <w:bottom w:val="none" w:sz="0" w:space="0" w:color="auto"/>
            <w:right w:val="none" w:sz="0" w:space="0" w:color="auto"/>
          </w:divBdr>
        </w:div>
        <w:div w:id="1521045328">
          <w:marLeft w:val="0"/>
          <w:marRight w:val="0"/>
          <w:marTop w:val="0"/>
          <w:marBottom w:val="0"/>
          <w:divBdr>
            <w:top w:val="none" w:sz="0" w:space="0" w:color="auto"/>
            <w:left w:val="none" w:sz="0" w:space="0" w:color="auto"/>
            <w:bottom w:val="none" w:sz="0" w:space="0" w:color="auto"/>
            <w:right w:val="none" w:sz="0" w:space="0" w:color="auto"/>
          </w:divBdr>
        </w:div>
      </w:divsChild>
    </w:div>
    <w:div w:id="1403721935">
      <w:bodyDiv w:val="1"/>
      <w:marLeft w:val="0"/>
      <w:marRight w:val="0"/>
      <w:marTop w:val="0"/>
      <w:marBottom w:val="0"/>
      <w:divBdr>
        <w:top w:val="none" w:sz="0" w:space="0" w:color="auto"/>
        <w:left w:val="none" w:sz="0" w:space="0" w:color="auto"/>
        <w:bottom w:val="none" w:sz="0" w:space="0" w:color="auto"/>
        <w:right w:val="none" w:sz="0" w:space="0" w:color="auto"/>
      </w:divBdr>
    </w:div>
    <w:div w:id="1435323377">
      <w:bodyDiv w:val="1"/>
      <w:marLeft w:val="0"/>
      <w:marRight w:val="0"/>
      <w:marTop w:val="0"/>
      <w:marBottom w:val="0"/>
      <w:divBdr>
        <w:top w:val="none" w:sz="0" w:space="0" w:color="auto"/>
        <w:left w:val="none" w:sz="0" w:space="0" w:color="auto"/>
        <w:bottom w:val="none" w:sz="0" w:space="0" w:color="auto"/>
        <w:right w:val="none" w:sz="0" w:space="0" w:color="auto"/>
      </w:divBdr>
    </w:div>
    <w:div w:id="1446003042">
      <w:bodyDiv w:val="1"/>
      <w:marLeft w:val="0"/>
      <w:marRight w:val="0"/>
      <w:marTop w:val="0"/>
      <w:marBottom w:val="0"/>
      <w:divBdr>
        <w:top w:val="none" w:sz="0" w:space="0" w:color="auto"/>
        <w:left w:val="none" w:sz="0" w:space="0" w:color="auto"/>
        <w:bottom w:val="none" w:sz="0" w:space="0" w:color="auto"/>
        <w:right w:val="none" w:sz="0" w:space="0" w:color="auto"/>
      </w:divBdr>
    </w:div>
    <w:div w:id="1492212719">
      <w:bodyDiv w:val="1"/>
      <w:marLeft w:val="0"/>
      <w:marRight w:val="0"/>
      <w:marTop w:val="0"/>
      <w:marBottom w:val="0"/>
      <w:divBdr>
        <w:top w:val="none" w:sz="0" w:space="0" w:color="auto"/>
        <w:left w:val="none" w:sz="0" w:space="0" w:color="auto"/>
        <w:bottom w:val="none" w:sz="0" w:space="0" w:color="auto"/>
        <w:right w:val="none" w:sz="0" w:space="0" w:color="auto"/>
      </w:divBdr>
    </w:div>
    <w:div w:id="1506437374">
      <w:bodyDiv w:val="1"/>
      <w:marLeft w:val="0"/>
      <w:marRight w:val="0"/>
      <w:marTop w:val="0"/>
      <w:marBottom w:val="0"/>
      <w:divBdr>
        <w:top w:val="none" w:sz="0" w:space="0" w:color="auto"/>
        <w:left w:val="none" w:sz="0" w:space="0" w:color="auto"/>
        <w:bottom w:val="none" w:sz="0" w:space="0" w:color="auto"/>
        <w:right w:val="none" w:sz="0" w:space="0" w:color="auto"/>
      </w:divBdr>
    </w:div>
    <w:div w:id="1532231851">
      <w:bodyDiv w:val="1"/>
      <w:marLeft w:val="0"/>
      <w:marRight w:val="0"/>
      <w:marTop w:val="0"/>
      <w:marBottom w:val="0"/>
      <w:divBdr>
        <w:top w:val="none" w:sz="0" w:space="0" w:color="auto"/>
        <w:left w:val="none" w:sz="0" w:space="0" w:color="auto"/>
        <w:bottom w:val="none" w:sz="0" w:space="0" w:color="auto"/>
        <w:right w:val="none" w:sz="0" w:space="0" w:color="auto"/>
      </w:divBdr>
    </w:div>
    <w:div w:id="1641495150">
      <w:bodyDiv w:val="1"/>
      <w:marLeft w:val="0"/>
      <w:marRight w:val="0"/>
      <w:marTop w:val="0"/>
      <w:marBottom w:val="0"/>
      <w:divBdr>
        <w:top w:val="none" w:sz="0" w:space="0" w:color="auto"/>
        <w:left w:val="none" w:sz="0" w:space="0" w:color="auto"/>
        <w:bottom w:val="none" w:sz="0" w:space="0" w:color="auto"/>
        <w:right w:val="none" w:sz="0" w:space="0" w:color="auto"/>
      </w:divBdr>
    </w:div>
    <w:div w:id="1811943796">
      <w:bodyDiv w:val="1"/>
      <w:marLeft w:val="0"/>
      <w:marRight w:val="0"/>
      <w:marTop w:val="0"/>
      <w:marBottom w:val="0"/>
      <w:divBdr>
        <w:top w:val="none" w:sz="0" w:space="0" w:color="auto"/>
        <w:left w:val="none" w:sz="0" w:space="0" w:color="auto"/>
        <w:bottom w:val="none" w:sz="0" w:space="0" w:color="auto"/>
        <w:right w:val="none" w:sz="0" w:space="0" w:color="auto"/>
      </w:divBdr>
      <w:divsChild>
        <w:div w:id="1436364914">
          <w:marLeft w:val="0"/>
          <w:marRight w:val="0"/>
          <w:marTop w:val="0"/>
          <w:marBottom w:val="0"/>
          <w:divBdr>
            <w:top w:val="none" w:sz="0" w:space="0" w:color="auto"/>
            <w:left w:val="none" w:sz="0" w:space="0" w:color="auto"/>
            <w:bottom w:val="none" w:sz="0" w:space="0" w:color="auto"/>
            <w:right w:val="none" w:sz="0" w:space="0" w:color="auto"/>
          </w:divBdr>
        </w:div>
        <w:div w:id="385180800">
          <w:marLeft w:val="0"/>
          <w:marRight w:val="0"/>
          <w:marTop w:val="0"/>
          <w:marBottom w:val="0"/>
          <w:divBdr>
            <w:top w:val="none" w:sz="0" w:space="0" w:color="auto"/>
            <w:left w:val="none" w:sz="0" w:space="0" w:color="auto"/>
            <w:bottom w:val="none" w:sz="0" w:space="0" w:color="auto"/>
            <w:right w:val="none" w:sz="0" w:space="0" w:color="auto"/>
          </w:divBdr>
        </w:div>
        <w:div w:id="586234208">
          <w:marLeft w:val="0"/>
          <w:marRight w:val="0"/>
          <w:marTop w:val="0"/>
          <w:marBottom w:val="0"/>
          <w:divBdr>
            <w:top w:val="none" w:sz="0" w:space="0" w:color="auto"/>
            <w:left w:val="none" w:sz="0" w:space="0" w:color="auto"/>
            <w:bottom w:val="none" w:sz="0" w:space="0" w:color="auto"/>
            <w:right w:val="none" w:sz="0" w:space="0" w:color="auto"/>
          </w:divBdr>
        </w:div>
        <w:div w:id="931478295">
          <w:marLeft w:val="0"/>
          <w:marRight w:val="0"/>
          <w:marTop w:val="0"/>
          <w:marBottom w:val="0"/>
          <w:divBdr>
            <w:top w:val="none" w:sz="0" w:space="0" w:color="auto"/>
            <w:left w:val="none" w:sz="0" w:space="0" w:color="auto"/>
            <w:bottom w:val="none" w:sz="0" w:space="0" w:color="auto"/>
            <w:right w:val="none" w:sz="0" w:space="0" w:color="auto"/>
          </w:divBdr>
        </w:div>
        <w:div w:id="1323004032">
          <w:marLeft w:val="0"/>
          <w:marRight w:val="0"/>
          <w:marTop w:val="0"/>
          <w:marBottom w:val="0"/>
          <w:divBdr>
            <w:top w:val="none" w:sz="0" w:space="0" w:color="auto"/>
            <w:left w:val="none" w:sz="0" w:space="0" w:color="auto"/>
            <w:bottom w:val="none" w:sz="0" w:space="0" w:color="auto"/>
            <w:right w:val="none" w:sz="0" w:space="0" w:color="auto"/>
          </w:divBdr>
        </w:div>
        <w:div w:id="2017272115">
          <w:marLeft w:val="0"/>
          <w:marRight w:val="0"/>
          <w:marTop w:val="0"/>
          <w:marBottom w:val="0"/>
          <w:divBdr>
            <w:top w:val="none" w:sz="0" w:space="0" w:color="auto"/>
            <w:left w:val="none" w:sz="0" w:space="0" w:color="auto"/>
            <w:bottom w:val="none" w:sz="0" w:space="0" w:color="auto"/>
            <w:right w:val="none" w:sz="0" w:space="0" w:color="auto"/>
          </w:divBdr>
        </w:div>
        <w:div w:id="1076442285">
          <w:marLeft w:val="0"/>
          <w:marRight w:val="0"/>
          <w:marTop w:val="0"/>
          <w:marBottom w:val="0"/>
          <w:divBdr>
            <w:top w:val="none" w:sz="0" w:space="0" w:color="auto"/>
            <w:left w:val="none" w:sz="0" w:space="0" w:color="auto"/>
            <w:bottom w:val="none" w:sz="0" w:space="0" w:color="auto"/>
            <w:right w:val="none" w:sz="0" w:space="0" w:color="auto"/>
          </w:divBdr>
        </w:div>
      </w:divsChild>
    </w:div>
    <w:div w:id="1899397112">
      <w:bodyDiv w:val="1"/>
      <w:marLeft w:val="0"/>
      <w:marRight w:val="0"/>
      <w:marTop w:val="0"/>
      <w:marBottom w:val="0"/>
      <w:divBdr>
        <w:top w:val="none" w:sz="0" w:space="0" w:color="auto"/>
        <w:left w:val="none" w:sz="0" w:space="0" w:color="auto"/>
        <w:bottom w:val="none" w:sz="0" w:space="0" w:color="auto"/>
        <w:right w:val="none" w:sz="0" w:space="0" w:color="auto"/>
      </w:divBdr>
    </w:div>
    <w:div w:id="1918204689">
      <w:bodyDiv w:val="1"/>
      <w:marLeft w:val="0"/>
      <w:marRight w:val="0"/>
      <w:marTop w:val="0"/>
      <w:marBottom w:val="0"/>
      <w:divBdr>
        <w:top w:val="none" w:sz="0" w:space="0" w:color="auto"/>
        <w:left w:val="none" w:sz="0" w:space="0" w:color="auto"/>
        <w:bottom w:val="none" w:sz="0" w:space="0" w:color="auto"/>
        <w:right w:val="none" w:sz="0" w:space="0" w:color="auto"/>
      </w:divBdr>
    </w:div>
    <w:div w:id="1966156141">
      <w:bodyDiv w:val="1"/>
      <w:marLeft w:val="0"/>
      <w:marRight w:val="0"/>
      <w:marTop w:val="0"/>
      <w:marBottom w:val="0"/>
      <w:divBdr>
        <w:top w:val="none" w:sz="0" w:space="0" w:color="auto"/>
        <w:left w:val="none" w:sz="0" w:space="0" w:color="auto"/>
        <w:bottom w:val="none" w:sz="0" w:space="0" w:color="auto"/>
        <w:right w:val="none" w:sz="0" w:space="0" w:color="auto"/>
      </w:divBdr>
    </w:div>
    <w:div w:id="2027822080">
      <w:bodyDiv w:val="1"/>
      <w:marLeft w:val="0"/>
      <w:marRight w:val="0"/>
      <w:marTop w:val="0"/>
      <w:marBottom w:val="0"/>
      <w:divBdr>
        <w:top w:val="none" w:sz="0" w:space="0" w:color="auto"/>
        <w:left w:val="none" w:sz="0" w:space="0" w:color="auto"/>
        <w:bottom w:val="none" w:sz="0" w:space="0" w:color="auto"/>
        <w:right w:val="none" w:sz="0" w:space="0" w:color="auto"/>
      </w:divBdr>
      <w:divsChild>
        <w:div w:id="1460994104">
          <w:marLeft w:val="0"/>
          <w:marRight w:val="0"/>
          <w:marTop w:val="0"/>
          <w:marBottom w:val="0"/>
          <w:divBdr>
            <w:top w:val="none" w:sz="0" w:space="0" w:color="auto"/>
            <w:left w:val="none" w:sz="0" w:space="0" w:color="auto"/>
            <w:bottom w:val="none" w:sz="0" w:space="0" w:color="auto"/>
            <w:right w:val="none" w:sz="0" w:space="0" w:color="auto"/>
          </w:divBdr>
          <w:divsChild>
            <w:div w:id="766003547">
              <w:marLeft w:val="0"/>
              <w:marRight w:val="0"/>
              <w:marTop w:val="0"/>
              <w:marBottom w:val="0"/>
              <w:divBdr>
                <w:top w:val="none" w:sz="0" w:space="0" w:color="auto"/>
                <w:left w:val="none" w:sz="0" w:space="0" w:color="auto"/>
                <w:bottom w:val="none" w:sz="0" w:space="0" w:color="auto"/>
                <w:right w:val="none" w:sz="0" w:space="0" w:color="auto"/>
              </w:divBdr>
              <w:divsChild>
                <w:div w:id="1696227636">
                  <w:marLeft w:val="0"/>
                  <w:marRight w:val="0"/>
                  <w:marTop w:val="0"/>
                  <w:marBottom w:val="0"/>
                  <w:divBdr>
                    <w:top w:val="none" w:sz="0" w:space="0" w:color="auto"/>
                    <w:left w:val="none" w:sz="0" w:space="0" w:color="auto"/>
                    <w:bottom w:val="none" w:sz="0" w:space="0" w:color="auto"/>
                    <w:right w:val="none" w:sz="0" w:space="0" w:color="auto"/>
                  </w:divBdr>
                  <w:divsChild>
                    <w:div w:id="268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3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E5C3F-B24E-844E-AA33-130244F5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326</cp:revision>
  <dcterms:created xsi:type="dcterms:W3CDTF">2018-09-28T16:09:00Z</dcterms:created>
  <dcterms:modified xsi:type="dcterms:W3CDTF">2019-05-17T15:21:00Z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