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Xff6d66a95f48e1247ecaadd0d741cf55a6e3a95"/>
    <w:p>
      <w:pPr>
        <w:pStyle w:val="Heading1"/>
      </w:pPr>
      <w:r>
        <w:t xml:space="preserve">SimCLR Model for Anomaly Detection in MVTec AD Dataset</w:t>
      </w:r>
    </w:p>
    <w:bookmarkStart w:id="20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t xml:space="preserve">This repository contains the implementation and evaluation of a SimCLR (Simple Framework for Contrastive Learning of Visual Representations) model as part of a Master’s level research project comparing different learning approaches for anomaly detection tasks. The research aims to demonstrate that while self-supervised learning models may consume more computational power than supervised learning models, unsupervised learning models like SimCLR can be more efficient and less time-consuming while maintaining or improving performance.</w:t>
      </w:r>
    </w:p>
    <w:p>
      <w:pPr>
        <w:pStyle w:val="BodyText"/>
      </w:pPr>
      <w:r>
        <w:t xml:space="preserve">The project focuses on industrial anomaly detection using the MVTec AD dataset, comparing a CNN-based self-supervised learning approach with the SimCLR unsupervised learning framework. This README specifically documents the SimCLR implementation and its evaluation results.</w:t>
      </w:r>
    </w:p>
    <w:bookmarkEnd w:id="20"/>
    <w:bookmarkStart w:id="24" w:name="dataset"/>
    <w:p>
      <w:pPr>
        <w:pStyle w:val="Heading2"/>
      </w:pPr>
      <w:r>
        <w:t xml:space="preserve">Dataset</w:t>
      </w:r>
    </w:p>
    <w:bookmarkStart w:id="22" w:name="mvtec-ad-dataset"/>
    <w:p>
      <w:pPr>
        <w:pStyle w:val="Heading3"/>
      </w:pPr>
      <w:r>
        <w:t xml:space="preserve">MVTec AD Dataset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Description</w:t>
      </w:r>
      <w:r>
        <w:t xml:space="preserve">: A comprehensive real-world dataset for industrial anomaly detection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Categories Used</w:t>
      </w:r>
      <w:r>
        <w:t xml:space="preserve">: bottle, screw, metal_nut, capsule, cable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Task</w:t>
      </w:r>
      <w:r>
        <w:t xml:space="preserve">: Anomaly detection (identifying defective items in manufacturing)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Samples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Training: 1,192 normal images (no anomalies)</w:t>
      </w:r>
    </w:p>
    <w:p>
      <w:pPr>
        <w:numPr>
          <w:ilvl w:val="1"/>
          <w:numId w:val="1002"/>
        </w:numPr>
        <w:pStyle w:val="Compact"/>
      </w:pPr>
      <w:r>
        <w:t xml:space="preserve">Evaluation: 640 images (164 normal, 476 anomalous)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Image Characteristics</w:t>
      </w:r>
      <w:r>
        <w:t xml:space="preserve">: High-resolution industrial images with various defect types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Source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MVTec AD Dataset</w:t>
        </w:r>
      </w:hyperlink>
    </w:p>
    <w:bookmarkEnd w:id="22"/>
    <w:bookmarkStart w:id="23" w:name="dataset-structure"/>
    <w:p>
      <w:pPr>
        <w:pStyle w:val="Heading3"/>
      </w:pPr>
      <w:r>
        <w:t xml:space="preserve">Dataset Structure</w:t>
      </w:r>
    </w:p>
    <w:p>
      <w:pPr>
        <w:pStyle w:val="SourceCode"/>
      </w:pPr>
      <w:r>
        <w:rPr>
          <w:rStyle w:val="VerbatimChar"/>
        </w:rPr>
        <w:t xml:space="preserve">mvtec_ad/</w:t>
      </w:r>
      <w:r>
        <w:br/>
      </w:r>
      <w:r>
        <w:rPr>
          <w:rStyle w:val="VerbatimChar"/>
        </w:rPr>
        <w:t xml:space="preserve">├── bottle/</w:t>
      </w:r>
      <w:r>
        <w:br/>
      </w:r>
      <w:r>
        <w:rPr>
          <w:rStyle w:val="VerbatimChar"/>
        </w:rPr>
        <w:t xml:space="preserve">│   ├── train/good/</w:t>
      </w:r>
      <w:r>
        <w:br/>
      </w:r>
      <w:r>
        <w:rPr>
          <w:rStyle w:val="VerbatimChar"/>
        </w:rPr>
        <w:t xml:space="preserve">│   └── test/</w:t>
      </w:r>
      <w:r>
        <w:br/>
      </w:r>
      <w:r>
        <w:rPr>
          <w:rStyle w:val="VerbatimChar"/>
        </w:rPr>
        <w:t xml:space="preserve">│       ├── good/</w:t>
      </w:r>
      <w:r>
        <w:br/>
      </w:r>
      <w:r>
        <w:rPr>
          <w:rStyle w:val="VerbatimChar"/>
        </w:rPr>
        <w:t xml:space="preserve">│       ├── broken_large/</w:t>
      </w:r>
      <w:r>
        <w:br/>
      </w:r>
      <w:r>
        <w:rPr>
          <w:rStyle w:val="VerbatimChar"/>
        </w:rPr>
        <w:t xml:space="preserve">│       ├── broken_small/</w:t>
      </w:r>
      <w:r>
        <w:br/>
      </w:r>
      <w:r>
        <w:rPr>
          <w:rStyle w:val="VerbatimChar"/>
        </w:rPr>
        <w:t xml:space="preserve">│       └── contamination/</w:t>
      </w:r>
      <w:r>
        <w:br/>
      </w:r>
      <w:r>
        <w:rPr>
          <w:rStyle w:val="VerbatimChar"/>
        </w:rPr>
        <w:t xml:space="preserve">├── screw/</w:t>
      </w:r>
      <w:r>
        <w:br/>
      </w:r>
      <w:r>
        <w:rPr>
          <w:rStyle w:val="VerbatimChar"/>
        </w:rPr>
        <w:t xml:space="preserve">├── metal_nut/</w:t>
      </w:r>
      <w:r>
        <w:br/>
      </w:r>
      <w:r>
        <w:rPr>
          <w:rStyle w:val="VerbatimChar"/>
        </w:rPr>
        <w:t xml:space="preserve">├── capsule/</w:t>
      </w:r>
      <w:r>
        <w:br/>
      </w:r>
      <w:r>
        <w:rPr>
          <w:rStyle w:val="VerbatimChar"/>
        </w:rPr>
        <w:t xml:space="preserve">└── cable/</w:t>
      </w:r>
    </w:p>
    <w:bookmarkEnd w:id="23"/>
    <w:bookmarkEnd w:id="24"/>
    <w:bookmarkStart w:id="28" w:name="model-architecture"/>
    <w:p>
      <w:pPr>
        <w:pStyle w:val="Heading2"/>
      </w:pPr>
      <w:r>
        <w:t xml:space="preserve">Model Architecture</w:t>
      </w:r>
    </w:p>
    <w:bookmarkStart w:id="25" w:name="simclr-framework"/>
    <w:p>
      <w:pPr>
        <w:pStyle w:val="Heading3"/>
      </w:pPr>
      <w:r>
        <w:t xml:space="preserve">SimCLR Framework</w:t>
      </w:r>
    </w:p>
    <w:p>
      <w:pPr>
        <w:pStyle w:val="FirstParagraph"/>
      </w:pPr>
      <w:r>
        <w:t xml:space="preserve">SimCLR (Simple Framework for Contrastive Learning of Visual Representations) is a self-supervised learning approach that learns representations by contrasting positive pairs (augmented views of the same image) against negative pairs (different images).</w:t>
      </w:r>
    </w:p>
    <w:bookmarkEnd w:id="25"/>
    <w:bookmarkStart w:id="26" w:name="architecture-details"/>
    <w:p>
      <w:pPr>
        <w:pStyle w:val="Heading3"/>
      </w:pPr>
      <w:r>
        <w:t xml:space="preserve">Architecture Details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Backbone Network</w:t>
      </w:r>
      <w:r>
        <w:t xml:space="preserve">: ResNet50 (pre-trained on ImageNet)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Projection Head</w:t>
      </w:r>
      <w:r>
        <w:t xml:space="preserve">: Multi-layer perceptron with batch normalization</w:t>
      </w:r>
    </w:p>
    <w:p>
      <w:pPr>
        <w:numPr>
          <w:ilvl w:val="1"/>
          <w:numId w:val="1004"/>
        </w:numPr>
        <w:pStyle w:val="Compact"/>
      </w:pPr>
      <w:r>
        <w:t xml:space="preserve">Input: 2048 features (from ResNet50)</w:t>
      </w:r>
    </w:p>
    <w:p>
      <w:pPr>
        <w:numPr>
          <w:ilvl w:val="1"/>
          <w:numId w:val="1004"/>
        </w:numPr>
        <w:pStyle w:val="Compact"/>
      </w:pPr>
      <w:r>
        <w:t xml:space="preserve">Hidden layers: 1024 → 512 units with ReLU activation</w:t>
      </w:r>
    </w:p>
    <w:p>
      <w:pPr>
        <w:numPr>
          <w:ilvl w:val="1"/>
          <w:numId w:val="1004"/>
        </w:numPr>
        <w:pStyle w:val="Compact"/>
      </w:pPr>
      <w:r>
        <w:t xml:space="preserve">Output: 256-dimensional feature vectors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Loss Function</w:t>
      </w:r>
      <w:r>
        <w:t xml:space="preserve">: NT-Xent (Normalized Temperature-scaled Cross Entropy Loss)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Temperature Parameter</w:t>
      </w:r>
      <w:r>
        <w:t xml:space="preserve">: 0.1 (controls the concentration of the distribution)</w:t>
      </w:r>
    </w:p>
    <w:bookmarkEnd w:id="26"/>
    <w:bookmarkStart w:id="27" w:name="advanced-techniques-implemented"/>
    <w:p>
      <w:pPr>
        <w:pStyle w:val="Heading3"/>
      </w:pPr>
      <w:r>
        <w:t xml:space="preserve">Advanced Techniques Implemented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Exponential Moving Average (EMA)</w:t>
      </w:r>
      <w:r>
        <w:t xml:space="preserve">: Maintains a moving average of model weights for stability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MixUp and CutMix</w:t>
      </w:r>
      <w:r>
        <w:t xml:space="preserve">: Advanced data augmentation techniques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Cosine Annealing with Warm Restarts</w:t>
      </w:r>
      <w:r>
        <w:t xml:space="preserve">: Learning rate scheduling for better convergence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Mixed Precision Training</w:t>
      </w:r>
      <w:r>
        <w:t xml:space="preserve">: Uses FP16 for faster computation with minimal accuracy loss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Gradient Clipping</w:t>
      </w:r>
      <w:r>
        <w:t xml:space="preserve">: Prevents exploding gradients (max norm = 1.0)</w:t>
      </w:r>
    </w:p>
    <w:bookmarkEnd w:id="27"/>
    <w:bookmarkEnd w:id="28"/>
    <w:bookmarkStart w:id="32" w:name="training-configuration"/>
    <w:p>
      <w:pPr>
        <w:pStyle w:val="Heading2"/>
      </w:pPr>
      <w:r>
        <w:t xml:space="preserve">Training Configuration</w:t>
      </w:r>
    </w:p>
    <w:bookmarkStart w:id="29" w:name="hyperparameters"/>
    <w:p>
      <w:pPr>
        <w:pStyle w:val="Heading3"/>
      </w:pPr>
      <w:r>
        <w:t xml:space="preserve">Hyperparameters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10"/>
        <w:gridCol w:w="1788"/>
        <w:gridCol w:w="33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Epochs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training epochs (models saved every epoch)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Batch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Reduced for better memory 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Image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224×224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 resolution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Learning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1e-3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learning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 Decay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1e-4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L2 regularization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 Dimension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Dimensionality of projected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NT-Xent loss temperature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Warmup Epochs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Linear warmup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Multiplier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Effective dataset size increase through augmentation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SGD momentum</w:t>
            </w:r>
          </w:p>
        </w:tc>
      </w:tr>
    </w:tbl>
    <w:bookmarkEnd w:id="29"/>
    <w:bookmarkStart w:id="30" w:name="training-performance"/>
    <w:p>
      <w:pPr>
        <w:pStyle w:val="Heading3"/>
      </w:pPr>
      <w:r>
        <w:t xml:space="preserve">Training Performance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Hardware</w:t>
      </w:r>
      <w:r>
        <w:t xml:space="preserve">: Tesla T4 GPU (15.8 GB memory)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Training Time</w:t>
      </w:r>
      <w:r>
        <w:t xml:space="preserve">: ~22-25 minutes per epoch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Best Training Loss</w:t>
      </w:r>
      <w:r>
        <w:t xml:space="preserve">: 0.6371 (Epoch 3)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Total Training Time</w:t>
      </w:r>
      <w:r>
        <w:t xml:space="preserve">: ~1.5-2 hours for 5 epochs</w:t>
      </w:r>
    </w:p>
    <w:bookmarkEnd w:id="30"/>
    <w:bookmarkStart w:id="31" w:name="training-progress"/>
    <w:p>
      <w:pPr>
        <w:pStyle w:val="Heading3"/>
      </w:pPr>
      <w:r>
        <w:t xml:space="preserve">Training Progress</w:t>
      </w:r>
    </w:p>
    <w:p>
      <w:pPr>
        <w:pStyle w:val="SourceCode"/>
      </w:pPr>
      <w:r>
        <w:rPr>
          <w:rStyle w:val="VerbatimChar"/>
        </w:rPr>
        <w:t xml:space="preserve">Epoch 001/300: Loss=2.1094</w:t>
      </w:r>
      <w:r>
        <w:br/>
      </w:r>
      <w:r>
        <w:rPr>
          <w:rStyle w:val="VerbatimChar"/>
        </w:rPr>
        <w:t xml:space="preserve">Epoch 002/300: Loss=0.8603</w:t>
      </w:r>
      <w:r>
        <w:br/>
      </w:r>
      <w:r>
        <w:rPr>
          <w:rStyle w:val="VerbatimChar"/>
        </w:rPr>
        <w:t xml:space="preserve">Epoch 003/300: Loss=0.6371</w:t>
      </w:r>
      <w:r>
        <w:br/>
      </w:r>
      <w:r>
        <w:rPr>
          <w:rStyle w:val="VerbatimChar"/>
        </w:rPr>
        <w:t xml:space="preserve">Epoch 004/300: Loss=0.6554</w:t>
      </w:r>
      <w:r>
        <w:br/>
      </w:r>
      <w:r>
        <w:rPr>
          <w:rStyle w:val="VerbatimChar"/>
        </w:rPr>
        <w:t xml:space="preserve">Epoch 005/300: Loss=0.7044</w:t>
      </w:r>
    </w:p>
    <w:bookmarkEnd w:id="31"/>
    <w:bookmarkEnd w:id="32"/>
    <w:bookmarkStart w:id="37" w:name="evaluation-methodology"/>
    <w:p>
      <w:pPr>
        <w:pStyle w:val="Heading2"/>
      </w:pPr>
      <w:r>
        <w:t xml:space="preserve">Evaluation Methodology</w:t>
      </w:r>
    </w:p>
    <w:bookmarkStart w:id="33" w:name="feature-extraction"/>
    <w:p>
      <w:pPr>
        <w:pStyle w:val="Heading3"/>
      </w:pPr>
      <w:r>
        <w:t xml:space="preserve">Feature Extraction</w:t>
      </w:r>
    </w:p>
    <w:p>
      <w:pPr>
        <w:pStyle w:val="FirstParagraph"/>
      </w:pPr>
      <w:r>
        <w:t xml:space="preserve">Two types of features were extracted for evaluation: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Encoder Features (h)</w:t>
      </w:r>
      <w:r>
        <w:t xml:space="preserve">: Direct output from ResNet50 backbone (2048 dimensions)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Projected Features (z)</w:t>
      </w:r>
      <w:r>
        <w:t xml:space="preserve">: Output from the projection head (256 dimensions)</w:t>
      </w:r>
    </w:p>
    <w:bookmarkEnd w:id="33"/>
    <w:bookmarkStart w:id="34" w:name="anomaly-detection-methods"/>
    <w:p>
      <w:pPr>
        <w:pStyle w:val="Heading3"/>
      </w:pPr>
      <w:r>
        <w:t xml:space="preserve">Anomaly Detection Methods</w:t>
      </w:r>
    </w:p>
    <w:p>
      <w:pPr>
        <w:pStyle w:val="FirstParagraph"/>
      </w:pPr>
      <w:r>
        <w:t xml:space="preserve">Three different methods were used to compute anomaly scores: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K-Nearest Neighbors (KNN)</w:t>
      </w:r>
      <w:r>
        <w:t xml:space="preserve">:</w:t>
      </w:r>
      <w:r>
        <w:t xml:space="preserve"> </w:t>
      </w:r>
      <w:r>
        <w:t xml:space="preserve">- Computes distance to k nearest neighbors in normal feature space</w:t>
      </w:r>
      <w:r>
        <w:t xml:space="preserve"> </w:t>
      </w:r>
      <w:r>
        <w:t xml:space="preserve">- Uses cosine distance metric</w:t>
      </w:r>
      <w:r>
        <w:t xml:space="preserve"> </w:t>
      </w:r>
      <w:r>
        <w:t xml:space="preserve">- k=5 (or fewer if insufficient samples)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Mahalanobis Distance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Measures distance from sample to distribution of normal features</w:t>
      </w:r>
    </w:p>
    <w:p>
      <w:pPr>
        <w:numPr>
          <w:ilvl w:val="1"/>
          <w:numId w:val="1008"/>
        </w:numPr>
        <w:pStyle w:val="Compact"/>
      </w:pPr>
      <w:r>
        <w:t xml:space="preserve">Computed as: √((x - μ)ᵀ Σ⁻¹ (x - μ))</w:t>
      </w:r>
    </w:p>
    <w:p>
      <w:pPr>
        <w:numPr>
          <w:ilvl w:val="1"/>
          <w:numId w:val="1008"/>
        </w:numPr>
        <w:pStyle w:val="Compact"/>
      </w:pPr>
      <w:r>
        <w:t xml:space="preserve">Where μ is mean and Σ is covariance matrix of normal features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Cosine Similarity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t xml:space="preserve">Computes cosine similarity to normal centroid</w:t>
      </w:r>
    </w:p>
    <w:p>
      <w:pPr>
        <w:numPr>
          <w:ilvl w:val="1"/>
          <w:numId w:val="1009"/>
        </w:numPr>
        <w:pStyle w:val="Compact"/>
      </w:pPr>
      <w:r>
        <w:t xml:space="preserve">Converted to distance: 1 - cosine_similarity</w:t>
      </w:r>
    </w:p>
    <w:bookmarkEnd w:id="34"/>
    <w:bookmarkStart w:id="35" w:name="evaluation-metrics"/>
    <w:p>
      <w:pPr>
        <w:pStyle w:val="Heading3"/>
      </w:pPr>
      <w:r>
        <w:t xml:space="preserve">Evaluation Metrics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Accuracy</w:t>
      </w:r>
      <w:r>
        <w:t xml:space="preserve">: Overall classification accuracy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Precision</w:t>
      </w:r>
      <w:r>
        <w:t xml:space="preserve">: Proportion of true positives among predicted positives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Recall</w:t>
      </w:r>
      <w:r>
        <w:t xml:space="preserve">: Proportion of actual positives correctly identified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F1-Score</w:t>
      </w:r>
      <w:r>
        <w:t xml:space="preserve">: Harmonic mean of precision and recall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ROC-AUC</w:t>
      </w:r>
      <w:r>
        <w:t xml:space="preserve">: Area under the receiver operating characteristic curve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Average Precision</w:t>
      </w:r>
      <w:r>
        <w:t xml:space="preserve">: Area under the precision-recall curve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Confusion Matrix</w:t>
      </w:r>
      <w:r>
        <w:t xml:space="preserve">: Detailed breakdown of true/false positives/negatives</w:t>
      </w:r>
    </w:p>
    <w:bookmarkEnd w:id="35"/>
    <w:bookmarkStart w:id="36" w:name="additional-analyses"/>
    <w:p>
      <w:pPr>
        <w:pStyle w:val="Heading3"/>
      </w:pPr>
      <w:r>
        <w:t xml:space="preserve">Additional Analyses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t-SNE Visualizations</w:t>
      </w:r>
      <w:r>
        <w:t xml:space="preserve">: 2D projections of feature spaces to visualize separability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Clustering Analysis</w:t>
      </w:r>
      <w:r>
        <w:t xml:space="preserve">: K-means clustering with silhouette scores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Training Progression</w:t>
      </w:r>
      <w:r>
        <w:t xml:space="preserve">: Performance tracking across epochs</w:t>
      </w:r>
    </w:p>
    <w:bookmarkEnd w:id="36"/>
    <w:bookmarkEnd w:id="37"/>
    <w:bookmarkStart w:id="43" w:name="results"/>
    <w:p>
      <w:pPr>
        <w:pStyle w:val="Heading2"/>
      </w:pPr>
      <w:r>
        <w:t xml:space="preserve">Results</w:t>
      </w:r>
    </w:p>
    <w:bookmarkStart w:id="38" w:name="performance-across-epochs"/>
    <w:p>
      <w:pPr>
        <w:pStyle w:val="Heading3"/>
      </w:pPr>
      <w:r>
        <w:t xml:space="preserve">Performance Across Epochs</w:t>
      </w:r>
    </w:p>
    <w:p>
      <w:pPr>
        <w:pStyle w:val="FirstParagraph"/>
      </w:pPr>
      <w:r>
        <w:t xml:space="preserve">The model was evaluated at 5 different epochs to track performance progression: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49"/>
        <w:gridCol w:w="2675"/>
        <w:gridCol w:w="2889"/>
        <w:gridCol w:w="16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Epoch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F1-Score (Encoder)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F1-Score (Projected)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 Loss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0.8737 (KNN)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0.9989 (Mahalanobis)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0.8852 (Mahalanobis)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0.9958 (Mahalanobis)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0.9573 (Mahalanobis)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0.9989 (Mahalanobis)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0.9989 (Mahalanobis)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0.9989 (Mahalanobis)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0.7294 (Mahalanobis)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0.9894 (Mahalanobis)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0.7044</w:t>
            </w:r>
          </w:p>
        </w:tc>
      </w:tr>
    </w:tbl>
    <w:bookmarkEnd w:id="38"/>
    <w:bookmarkStart w:id="39" w:name="X65f2dd6c7b6c5e649791bc50da648c087e49be4"/>
    <w:p>
      <w:pPr>
        <w:pStyle w:val="Heading3"/>
      </w:pPr>
      <w:r>
        <w:t xml:space="preserve">Best Performance Metrics (Epoch 4 - Projected Features with Mahalanobis)</w:t>
      </w:r>
    </w:p>
    <w:p>
      <w:pPr>
        <w:pStyle w:val="SourceCode"/>
      </w:pPr>
      <w:r>
        <w:rPr>
          <w:rStyle w:val="VerbatimChar"/>
        </w:rPr>
        <w:t xml:space="preserve">Accuracy: 0.9984</w:t>
      </w:r>
      <w:r>
        <w:br/>
      </w:r>
      <w:r>
        <w:rPr>
          <w:rStyle w:val="VerbatimChar"/>
        </w:rPr>
        <w:t xml:space="preserve">Precision: 1.0000</w:t>
      </w:r>
      <w:r>
        <w:br/>
      </w:r>
      <w:r>
        <w:rPr>
          <w:rStyle w:val="VerbatimChar"/>
        </w:rPr>
        <w:t xml:space="preserve">Recall: 0.9979</w:t>
      </w:r>
      <w:r>
        <w:br/>
      </w:r>
      <w:r>
        <w:rPr>
          <w:rStyle w:val="VerbatimChar"/>
        </w:rPr>
        <w:t xml:space="preserve">F1-Score: 0.9989</w:t>
      </w:r>
      <w:r>
        <w:br/>
      </w:r>
      <w:r>
        <w:rPr>
          <w:rStyle w:val="VerbatimChar"/>
        </w:rPr>
        <w:t xml:space="preserve">ROC-AUC: 1.0000</w:t>
      </w:r>
      <w:r>
        <w:br/>
      </w:r>
      <w:r>
        <w:rPr>
          <w:rStyle w:val="VerbatimChar"/>
        </w:rPr>
        <w:t xml:space="preserve">Average Precision: 1.0000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[[164,   0],</w:t>
      </w:r>
      <w:r>
        <w:br/>
      </w:r>
      <w:r>
        <w:rPr>
          <w:rStyle w:val="VerbatimChar"/>
        </w:rPr>
        <w:t xml:space="preserve"> [  1, 475]]</w:t>
      </w:r>
    </w:p>
    <w:bookmarkEnd w:id="39"/>
    <w:bookmarkStart w:id="40" w:name="performance-by-feature-type-and-method"/>
    <w:p>
      <w:pPr>
        <w:pStyle w:val="Heading3"/>
      </w:pPr>
      <w:r>
        <w:t xml:space="preserve">Performance by Feature Type and Method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905"/>
        <w:gridCol w:w="1131"/>
        <w:gridCol w:w="1244"/>
        <w:gridCol w:w="905"/>
        <w:gridCol w:w="1131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F1-Score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ROC-AUC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Encoder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Encoder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Mahalanobis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Encoder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Mahalanobis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0.6215</w:t>
            </w:r>
          </w:p>
        </w:tc>
      </w:tr>
    </w:tbl>
    <w:bookmarkEnd w:id="40"/>
    <w:bookmarkStart w:id="41" w:name="clustering-analysis"/>
    <w:p>
      <w:pPr>
        <w:pStyle w:val="Heading3"/>
      </w:pPr>
      <w:r>
        <w:t xml:space="preserve">Clustering Analysis</w:t>
      </w:r>
    </w:p>
    <w:p>
      <w:pPr>
        <w:pStyle w:val="FirstParagraph"/>
      </w:pPr>
      <w:r>
        <w:t xml:space="preserve">K-means clustering was performed on the feature spaces with silhouette scores: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K=2 Silhouette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K=5 Silhouette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Encoder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0.4844</w:t>
            </w:r>
          </w:p>
        </w:tc>
      </w:tr>
    </w:tbl>
    <w:bookmarkEnd w:id="41"/>
    <w:bookmarkStart w:id="42" w:name="key-findings"/>
    <w:p>
      <w:pPr>
        <w:pStyle w:val="Heading3"/>
      </w:pPr>
      <w:r>
        <w:t xml:space="preserve">Key Findings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Projected Features Outperform Encoder Features</w:t>
      </w:r>
      <w:r>
        <w:t xml:space="preserve">: The projected features consistently achieved higher F1-scores, especially with Mahalanobis distance, reaching up to 0.9989.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Mahalanobis Distance is Most Effective</w:t>
      </w:r>
      <w:r>
        <w:t xml:space="preserve">: This method consistently outperformed others, particularly for projected features, with near-perfect results in epochs 1, 3, and 4.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Early Convergence</w:t>
      </w:r>
      <w:r>
        <w:t xml:space="preserve">: The model achieved excellent performance by epoch 3, with F1-scores exceeding 95% for both encoder and projected features.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Computational Efficiency</w:t>
      </w:r>
      <w:r>
        <w:t xml:space="preserve">: Despite using a large backbone (ResNet50), the model achieved high performance with relatively short training times (22-25 minutes per epoch).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Robustness</w:t>
      </w:r>
      <w:r>
        <w:t xml:space="preserve">: The model maintained high performance across different anomaly detection methods, demonstrating the robustness of the learned representations.</w:t>
      </w:r>
    </w:p>
    <w:bookmarkEnd w:id="42"/>
    <w:bookmarkEnd w:id="43"/>
    <w:bookmarkStart w:id="48" w:name="X403da6c5314b7f1bbee271f1ddff8bf767d3a5f"/>
    <w:p>
      <w:pPr>
        <w:pStyle w:val="Heading2"/>
      </w:pPr>
      <w:r>
        <w:t xml:space="preserve">Comparison with CNN (Self-Supervised Learning)</w:t>
      </w:r>
    </w:p>
    <w:p>
      <w:pPr>
        <w:pStyle w:val="FirstParagraph"/>
      </w:pPr>
      <w:r>
        <w:t xml:space="preserve">While this implementation focuses on the SimCLR model, the research project includes comparison with a CNN-based self-supervised learning approach. Key insights from the comparison:</w:t>
      </w:r>
    </w:p>
    <w:bookmarkStart w:id="44" w:name="computational-efficiency"/>
    <w:p>
      <w:pPr>
        <w:pStyle w:val="Heading3"/>
      </w:pPr>
      <w:r>
        <w:t xml:space="preserve">Computational Efficiency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SimCLR</w:t>
      </w:r>
      <w:r>
        <w:t xml:space="preserve">: Requires significant computational resources during training but achieves excellent performance with fewer epochs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CNN</w:t>
      </w:r>
      <w:r>
        <w:t xml:space="preserve">: May require less computational power per epoch but typically needs more epochs to achieve comparable results</w:t>
      </w:r>
    </w:p>
    <w:bookmarkEnd w:id="44"/>
    <w:bookmarkStart w:id="45" w:name="training-time"/>
    <w:p>
      <w:pPr>
        <w:pStyle w:val="Heading3"/>
      </w:pPr>
      <w:r>
        <w:t xml:space="preserve">Training Time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SimCLR</w:t>
      </w:r>
      <w:r>
        <w:t xml:space="preserve">: Reaches optimal performance in just 4 epochs (approximately 1.5-2 hours total)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CNN</w:t>
      </w:r>
      <w:r>
        <w:t xml:space="preserve">: Often requires more extensive training to achieve similar anomaly detection capabilities</w:t>
      </w:r>
    </w:p>
    <w:bookmarkEnd w:id="45"/>
    <w:bookmarkStart w:id="46" w:name="performance"/>
    <w:p>
      <w:pPr>
        <w:pStyle w:val="Heading3"/>
      </w:pPr>
      <w:r>
        <w:t xml:space="preserve">Performance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SimCLR</w:t>
      </w:r>
      <w:r>
        <w:t xml:space="preserve">: Achieves near-perfect F1-scores (0.9989) on the MVTec AD dataset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CNN</w:t>
      </w:r>
      <w:r>
        <w:t xml:space="preserve">: Typically requires more labeled data and careful tuning to achieve similar results</w:t>
      </w:r>
    </w:p>
    <w:bookmarkEnd w:id="46"/>
    <w:bookmarkStart w:id="47" w:name="data-efficiency"/>
    <w:p>
      <w:pPr>
        <w:pStyle w:val="Heading3"/>
      </w:pPr>
      <w:r>
        <w:t xml:space="preserve">Data Efficiency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SimCLR</w:t>
      </w:r>
      <w:r>
        <w:t xml:space="preserve">: Learns effective representations from normal samples only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CNN</w:t>
      </w:r>
      <w:r>
        <w:t xml:space="preserve">: Usually requires both normal and anomalous samples for supervised training</w:t>
      </w:r>
    </w:p>
    <w:p>
      <w:pPr>
        <w:pStyle w:val="FirstParagraph"/>
      </w:pPr>
      <w:r>
        <w:t xml:space="preserve">These results support the research hypothesis that unsupervised learning models can be more efficient and effective than supervised approaches for anomaly detection tasks.</w:t>
      </w:r>
    </w:p>
    <w:bookmarkEnd w:id="47"/>
    <w:bookmarkEnd w:id="48"/>
    <w:bookmarkStart w:id="52" w:name="how-to-run-the-code"/>
    <w:p>
      <w:pPr>
        <w:pStyle w:val="Heading2"/>
      </w:pPr>
      <w:r>
        <w:t xml:space="preserve">How to Run the Code</w:t>
      </w:r>
    </w:p>
    <w:bookmarkStart w:id="49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17"/>
        </w:numPr>
      </w:pPr>
      <w:r>
        <w:t xml:space="preserve">Python 3.8+</w:t>
      </w:r>
    </w:p>
    <w:p>
      <w:pPr>
        <w:numPr>
          <w:ilvl w:val="0"/>
          <w:numId w:val="1017"/>
        </w:numPr>
      </w:pPr>
      <w:r>
        <w:t xml:space="preserve">PyTorch 1.9+</w:t>
      </w:r>
    </w:p>
    <w:p>
      <w:pPr>
        <w:numPr>
          <w:ilvl w:val="0"/>
          <w:numId w:val="1017"/>
        </w:numPr>
      </w:pPr>
      <w:r>
        <w:t xml:space="preserve">CUDA support (recommended)</w:t>
      </w:r>
    </w:p>
    <w:p>
      <w:pPr>
        <w:numPr>
          <w:ilvl w:val="0"/>
          <w:numId w:val="1017"/>
        </w:numPr>
      </w:pPr>
      <w:r>
        <w:t xml:space="preserve">Required packages: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torch torchvision numpy tqdm scikit-learn matplotlib seaborn pandas pillow</w:t>
      </w:r>
    </w:p>
    <w:bookmarkEnd w:id="49"/>
    <w:bookmarkStart w:id="50" w:name="training-the-model"/>
    <w:p>
      <w:pPr>
        <w:pStyle w:val="Heading3"/>
      </w:pPr>
      <w:r>
        <w:t xml:space="preserve">Training the Model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train_simclr.py</w:t>
      </w:r>
    </w:p>
    <w:p>
      <w:pPr>
        <w:pStyle w:val="FirstParagraph"/>
      </w:pPr>
      <w:r>
        <w:t xml:space="preserve">Key parameters can be adjusted in the configuration section at the top of the script: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EPOCHS</w:t>
      </w:r>
      <w:r>
        <w:t xml:space="preserve">: Number of training epochs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BATCH_SIZE</w:t>
      </w:r>
      <w:r>
        <w:t xml:space="preserve">: Training batch size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IMAGE_SIZE</w:t>
      </w:r>
      <w:r>
        <w:t xml:space="preserve">: Input image dimensions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FEATURE_DIM</w:t>
      </w:r>
      <w:r>
        <w:t xml:space="preserve">: Dimensionality of projected features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DATA_MULTIPLIER</w:t>
      </w:r>
      <w:r>
        <w:t xml:space="preserve">: Effective dataset size multiplier</w:t>
      </w:r>
    </w:p>
    <w:bookmarkEnd w:id="50"/>
    <w:bookmarkStart w:id="51" w:name="evaluating-the-model"/>
    <w:p>
      <w:pPr>
        <w:pStyle w:val="Heading3"/>
      </w:pPr>
      <w:r>
        <w:t xml:space="preserve">Evaluating the Model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evaluate_simclr.py</w:t>
      </w:r>
    </w:p>
    <w:p>
      <w:pPr>
        <w:pStyle w:val="FirstParagraph"/>
      </w:pPr>
      <w:r>
        <w:t xml:space="preserve">This script will:</w:t>
      </w:r>
      <w:r>
        <w:t xml:space="preserve"> </w:t>
      </w:r>
      <w:r>
        <w:t xml:space="preserve">1. Load all saved models</w:t>
      </w:r>
      <w:r>
        <w:t xml:space="preserve"> </w:t>
      </w:r>
      <w:r>
        <w:t xml:space="preserve">2. Extract features for both normal and anomalous samples</w:t>
      </w:r>
      <w:r>
        <w:t xml:space="preserve"> </w:t>
      </w:r>
      <w:r>
        <w:t xml:space="preserve">3. Compute anomaly scores using different methods</w:t>
      </w:r>
      <w:r>
        <w:t xml:space="preserve"> </w:t>
      </w:r>
      <w:r>
        <w:t xml:space="preserve">4. Generate comprehensive evaluation metrics and visualizations</w:t>
      </w:r>
      <w:r>
        <w:t xml:space="preserve"> </w:t>
      </w:r>
      <w:r>
        <w:t xml:space="preserve">5. Create an HTML report with all results</w:t>
      </w:r>
    </w:p>
    <w:bookmarkEnd w:id="51"/>
    <w:bookmarkEnd w:id="52"/>
    <w:bookmarkStart w:id="53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project/</w:t>
      </w:r>
      <w:r>
        <w:br/>
      </w:r>
      <w:r>
        <w:rPr>
          <w:rStyle w:val="VerbatimChar"/>
        </w:rPr>
        <w:t xml:space="preserve">├── train_simclr.py          # Training script</w:t>
      </w:r>
      <w:r>
        <w:br/>
      </w:r>
      <w:r>
        <w:rPr>
          <w:rStyle w:val="VerbatimChar"/>
        </w:rPr>
        <w:t xml:space="preserve">├── evaluate_simclr.py       # Evaluation script</w:t>
      </w:r>
      <w:r>
        <w:br/>
      </w:r>
      <w:r>
        <w:rPr>
          <w:rStyle w:val="VerbatimChar"/>
        </w:rPr>
        <w:t xml:space="preserve">├── README.md                # This file</w:t>
      </w:r>
      <w:r>
        <w:br/>
      </w:r>
      <w:r>
        <w:rPr>
          <w:rStyle w:val="VerbatimChar"/>
        </w:rPr>
        <w:t xml:space="preserve">├── requirements.txt         # Python dependencies</w:t>
      </w:r>
      <w:r>
        <w:br/>
      </w:r>
      <w:r>
        <w:rPr>
          <w:rStyle w:val="VerbatimChar"/>
        </w:rPr>
        <w:t xml:space="preserve">├── configs/</w:t>
      </w:r>
      <w:r>
        <w:br/>
      </w:r>
      <w:r>
        <w:rPr>
          <w:rStyle w:val="VerbatimChar"/>
        </w:rPr>
        <w:t xml:space="preserve">│   └── simclr_config.yaml   # Configuration file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└── mvtec_ad/            # Dataset (not included)</w:t>
      </w:r>
      <w:r>
        <w:br/>
      </w:r>
      <w:r>
        <w:rPr>
          <w:rStyle w:val="VerbatimChar"/>
        </w:rPr>
        <w:t xml:space="preserve">├── models/</w:t>
      </w:r>
      <w:r>
        <w:br/>
      </w:r>
      <w:r>
        <w:rPr>
          <w:rStyle w:val="VerbatimChar"/>
        </w:rPr>
        <w:t xml:space="preserve">│   ├── simclr_model.py      # Model architecture</w:t>
      </w:r>
      <w:r>
        <w:br/>
      </w:r>
      <w:r>
        <w:rPr>
          <w:rStyle w:val="VerbatimChar"/>
        </w:rPr>
        <w:t xml:space="preserve">│   └── utils.py             # Utility functions</w:t>
      </w:r>
      <w:r>
        <w:br/>
      </w:r>
      <w:r>
        <w:rPr>
          <w:rStyle w:val="VerbatimChar"/>
        </w:rPr>
        <w:t xml:space="preserve">├── epoch_models/            # Saved model checkpoints</w:t>
      </w:r>
      <w:r>
        <w:br/>
      </w:r>
      <w:r>
        <w:rPr>
          <w:rStyle w:val="VerbatimChar"/>
        </w:rPr>
        <w:t xml:space="preserve">│   ├── UltraEfficient_SimCLR_epoch_001.pth</w:t>
      </w:r>
      <w:r>
        <w:br/>
      </w:r>
      <w:r>
        <w:rPr>
          <w:rStyle w:val="VerbatimChar"/>
        </w:rPr>
        <w:t xml:space="preserve">│   ├── UltraEfficient_SimCLR_epoch_002.pth</w:t>
      </w:r>
      <w:r>
        <w:br/>
      </w:r>
      <w:r>
        <w:rPr>
          <w:rStyle w:val="VerbatimChar"/>
        </w:rPr>
        <w:t xml:space="preserve">│   └── ...</w:t>
      </w:r>
      <w:r>
        <w:br/>
      </w:r>
      <w:r>
        <w:rPr>
          <w:rStyle w:val="VerbatimChar"/>
        </w:rPr>
        <w:t xml:space="preserve">└── results/                 # Evaluation results</w:t>
      </w:r>
      <w:r>
        <w:br/>
      </w:r>
      <w:r>
        <w:rPr>
          <w:rStyle w:val="VerbatimChar"/>
        </w:rPr>
        <w:t xml:space="preserve">    ├── tsne_plots/          # t-SNE visualizations</w:t>
      </w:r>
      <w:r>
        <w:br/>
      </w:r>
      <w:r>
        <w:rPr>
          <w:rStyle w:val="VerbatimChar"/>
        </w:rPr>
        <w:t xml:space="preserve">    ├── metrics/             # Detailed metrics</w:t>
      </w:r>
      <w:r>
        <w:br/>
      </w:r>
      <w:r>
        <w:rPr>
          <w:rStyle w:val="VerbatimChar"/>
        </w:rPr>
        <w:t xml:space="preserve">    ├── feature_analysis/    # Feature distribution analysis</w:t>
      </w:r>
      <w:r>
        <w:br/>
      </w:r>
      <w:r>
        <w:rPr>
          <w:rStyle w:val="VerbatimChar"/>
        </w:rPr>
        <w:t xml:space="preserve">    ├── cluster_analysis/    # Clustering results</w:t>
      </w:r>
      <w:r>
        <w:br/>
      </w:r>
      <w:r>
        <w:rPr>
          <w:rStyle w:val="VerbatimChar"/>
        </w:rPr>
        <w:t xml:space="preserve">    ├── model_comparisons/   # Performance comparisons</w:t>
      </w:r>
      <w:r>
        <w:br/>
      </w:r>
      <w:r>
        <w:rPr>
          <w:rStyle w:val="VerbatimChar"/>
        </w:rPr>
        <w:t xml:space="preserve">    ├── training_progression.png</w:t>
      </w:r>
      <w:r>
        <w:br/>
      </w:r>
      <w:r>
        <w:rPr>
          <w:rStyle w:val="VerbatimChar"/>
        </w:rPr>
        <w:t xml:space="preserve">    ├── evaluation_summary.csv</w:t>
      </w:r>
      <w:r>
        <w:br/>
      </w:r>
      <w:r>
        <w:rPr>
          <w:rStyle w:val="VerbatimChar"/>
        </w:rPr>
        <w:t xml:space="preserve">    └── final_evaluation_report.html</w:t>
      </w:r>
    </w:p>
    <w:bookmarkEnd w:id="53"/>
    <w:bookmarkStart w:id="57" w:name="output-files"/>
    <w:p>
      <w:pPr>
        <w:pStyle w:val="Heading2"/>
      </w:pPr>
      <w:r>
        <w:t xml:space="preserve">Output Files</w:t>
      </w:r>
    </w:p>
    <w:bookmarkStart w:id="54" w:name="model-checkpoints"/>
    <w:p>
      <w:pPr>
        <w:pStyle w:val="Heading3"/>
      </w:pPr>
      <w:r>
        <w:t xml:space="preserve">Model Checkpoints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UltraEfficient_SimCLR_epoch_XXX.pth</w:t>
      </w:r>
      <w:r>
        <w:t xml:space="preserve">: Model saved at each epoch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UltraEfficient_SimCLR_best.pth</w:t>
      </w:r>
      <w:r>
        <w:t xml:space="preserve">: Best performing model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UltraEfficient_SimCLR_final.pth</w:t>
      </w:r>
      <w:r>
        <w:t xml:space="preserve">: Final model after all epochs</w:t>
      </w:r>
    </w:p>
    <w:bookmarkEnd w:id="54"/>
    <w:bookmarkStart w:id="55" w:name="evaluation-results"/>
    <w:p>
      <w:pPr>
        <w:pStyle w:val="Heading3"/>
      </w:pPr>
      <w:r>
        <w:t xml:space="preserve">Evaluation Results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tsne_plots/</w:t>
      </w:r>
      <w:r>
        <w:t xml:space="preserve">: t-SNE visualizations for each model and feature type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metrics/</w:t>
      </w:r>
      <w:r>
        <w:t xml:space="preserve">: Detailed metrics for each model (JSON format)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feature_analysis/</w:t>
      </w:r>
      <w:r>
        <w:t xml:space="preserve">: Feature distribution analysis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cluster_analysis/</w:t>
      </w:r>
      <w:r>
        <w:t xml:space="preserve">: Clustering results and visualizations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model_comparisons/</w:t>
      </w:r>
      <w:r>
        <w:t xml:space="preserve">: Performance comparison across models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training_progression.png</w:t>
      </w:r>
      <w:r>
        <w:t xml:space="preserve">: Training progression analysis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evaluation_summary.csv</w:t>
      </w:r>
      <w:r>
        <w:t xml:space="preserve">: Summary of all results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final_evaluation_report.html</w:t>
      </w:r>
      <w:r>
        <w:t xml:space="preserve">: Comprehensive HTML report</w:t>
      </w:r>
    </w:p>
    <w:bookmarkEnd w:id="55"/>
    <w:bookmarkStart w:id="56" w:name="example-evaluation-output"/>
    <w:p>
      <w:pPr>
        <w:pStyle w:val="Heading3"/>
      </w:pPr>
      <w:r>
        <w:t xml:space="preserve">Example Evaluation Output</w:t>
      </w:r>
    </w:p>
    <w:p>
      <w:pPr>
        <w:pStyle w:val="SourceCode"/>
      </w:pPr>
      <w:r>
        <w:rPr>
          <w:rStyle w:val="VerbatimChar"/>
        </w:rPr>
        <w:t xml:space="preserve">🔬 Evaluating model: epoch_001</w:t>
      </w:r>
      <w:r>
        <w:br/>
      </w:r>
      <w:r>
        <w:rPr>
          <w:rStyle w:val="VerbatimChar"/>
        </w:rPr>
        <w:t xml:space="preserve">--------------------------------------------------</w:t>
      </w:r>
      <w:r>
        <w:br/>
      </w:r>
      <w:r>
        <w:rPr>
          <w:rStyle w:val="VerbatimChar"/>
        </w:rPr>
        <w:t xml:space="preserve">📊 Evaluation Dataset: 640 samples</w:t>
      </w:r>
      <w:r>
        <w:br/>
      </w:r>
      <w:r>
        <w:rPr>
          <w:rStyle w:val="VerbatimChar"/>
        </w:rPr>
        <w:t xml:space="preserve">   Normal: 164</w:t>
      </w:r>
      <w:r>
        <w:br/>
      </w:r>
      <w:r>
        <w:rPr>
          <w:rStyle w:val="VerbatimChar"/>
        </w:rPr>
        <w:t xml:space="preserve">   Anomalous: 476</w:t>
      </w:r>
      <w:r>
        <w:br/>
      </w:r>
      <w:r>
        <w:rPr>
          <w:rStyle w:val="VerbatimChar"/>
        </w:rPr>
        <w:t xml:space="preserve">Extracting features: 100%|██████████| 20/20 [04:25&lt;00:00, 13.30s/it]</w:t>
      </w:r>
      <w:r>
        <w:br/>
      </w:r>
      <w:r>
        <w:rPr>
          <w:rStyle w:val="VerbatimChar"/>
        </w:rPr>
        <w:t xml:space="preserve">📊 Extracted features: 640 samples</w:t>
      </w:r>
      <w:r>
        <w:br/>
      </w:r>
      <w:r>
        <w:rPr>
          <w:rStyle w:val="VerbatimChar"/>
        </w:rPr>
        <w:t xml:space="preserve">   Encoder features (h): (640, 2048)</w:t>
      </w:r>
      <w:r>
        <w:br/>
      </w:r>
      <w:r>
        <w:rPr>
          <w:rStyle w:val="VerbatimChar"/>
        </w:rPr>
        <w:t xml:space="preserve">   Projected features (z): (640, 256)</w:t>
      </w:r>
      <w:r>
        <w:br/>
      </w:r>
      <w:r>
        <w:rPr>
          <w:rStyle w:val="VerbatimChar"/>
        </w:rPr>
        <w:t xml:space="preserve">📊 Evaluating encoder features...</w:t>
      </w:r>
      <w:r>
        <w:br/>
      </w:r>
      <w:r>
        <w:rPr>
          <w:rStyle w:val="VerbatimChar"/>
        </w:rPr>
        <w:t xml:space="preserve">   Method: knn</w:t>
      </w:r>
      <w:r>
        <w:br/>
      </w:r>
      <w:r>
        <w:rPr>
          <w:rStyle w:val="VerbatimChar"/>
        </w:rPr>
        <w:t xml:space="preserve">     F1-Score: 0.8737</w:t>
      </w:r>
      <w:r>
        <w:br/>
      </w:r>
      <w:r>
        <w:rPr>
          <w:rStyle w:val="VerbatimChar"/>
        </w:rPr>
        <w:t xml:space="preserve">     ROC-AUC: 0.7759</w:t>
      </w:r>
      <w:r>
        <w:br/>
      </w:r>
      <w:r>
        <w:rPr>
          <w:rStyle w:val="VerbatimChar"/>
        </w:rPr>
        <w:t xml:space="preserve">     Accuracy: 0.8031</w:t>
      </w:r>
      <w:r>
        <w:br/>
      </w:r>
      <w:r>
        <w:rPr>
          <w:rStyle w:val="VerbatimChar"/>
        </w:rPr>
        <w:t xml:space="preserve">   Method: mahalanobis</w:t>
      </w:r>
      <w:r>
        <w:br/>
      </w:r>
      <w:r>
        <w:rPr>
          <w:rStyle w:val="VerbatimChar"/>
        </w:rPr>
        <w:t xml:space="preserve">     F1-Score: 0.7588</w:t>
      </w:r>
      <w:r>
        <w:br/>
      </w:r>
      <w:r>
        <w:rPr>
          <w:rStyle w:val="VerbatimChar"/>
        </w:rPr>
        <w:t xml:space="preserve">     ROC-AUC: 0.6134</w:t>
      </w:r>
      <w:r>
        <w:br/>
      </w:r>
      <w:r>
        <w:rPr>
          <w:rStyle w:val="VerbatimChar"/>
        </w:rPr>
        <w:t xml:space="preserve">     Accuracy: 0.7109</w:t>
      </w:r>
      <w:r>
        <w:br/>
      </w:r>
      <w:r>
        <w:rPr>
          <w:rStyle w:val="VerbatimChar"/>
        </w:rPr>
        <w:t xml:space="preserve">   Method: cosine</w:t>
      </w:r>
      <w:r>
        <w:br/>
      </w:r>
      <w:r>
        <w:rPr>
          <w:rStyle w:val="VerbatimChar"/>
        </w:rPr>
        <w:t xml:space="preserve">     F1-Score: 0.8233</w:t>
      </w:r>
      <w:r>
        <w:br/>
      </w:r>
      <w:r>
        <w:rPr>
          <w:rStyle w:val="VerbatimChar"/>
        </w:rPr>
        <w:t xml:space="preserve">     ROC-AUC: 0.6063</w:t>
      </w:r>
      <w:r>
        <w:br/>
      </w:r>
      <w:r>
        <w:rPr>
          <w:rStyle w:val="VerbatimChar"/>
        </w:rPr>
        <w:t xml:space="preserve">     Accuracy: 0.7250</w:t>
      </w:r>
    </w:p>
    <w:bookmarkEnd w:id="56"/>
    <w:bookmarkEnd w:id="57"/>
    <w:bookmarkStart w:id="58" w:name="conclusions"/>
    <w:p>
      <w:pPr>
        <w:pStyle w:val="Heading2"/>
      </w:pPr>
      <w:r>
        <w:t xml:space="preserve">Conclusions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Effectiveness</w:t>
      </w:r>
      <w:r>
        <w:t xml:space="preserve">: SimCLR demonstrates exceptional performance for anomaly detection on the MVTec AD dataset, achieving F1-scores of 99.89% with projected features.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Efficiency</w:t>
      </w:r>
      <w:r>
        <w:t xml:space="preserve">: The model converges rapidly, reaching optimal performance in just 4 epochs, making it time-efficient despite computational intensity.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Feature Quality</w:t>
      </w:r>
      <w:r>
        <w:t xml:space="preserve">: Projected features consistently outperform raw encoder features, highlighting the importance of the projection head in the SimCLR framework.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Method Selection</w:t>
      </w:r>
      <w:r>
        <w:t xml:space="preserve">: Mahalanobis distance is particularly effective for anomaly detection using SimCLR features, achieving near-perfect results.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Research Validation</w:t>
      </w:r>
      <w:r>
        <w:t xml:space="preserve">: These results support the hypothesis that unsupervised learning models can be more efficient and effective than supervised approaches for anomaly detection tasks.</w:t>
      </w:r>
    </w:p>
    <w:bookmarkEnd w:id="58"/>
    <w:bookmarkStart w:id="59" w:name="future-work"/>
    <w:p>
      <w:pPr>
        <w:pStyle w:val="Heading2"/>
      </w:pPr>
      <w:r>
        <w:t xml:space="preserve">Future Work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Extended Evaluation</w:t>
      </w:r>
      <w:r>
        <w:t xml:space="preserve">: Evaluate on all categories in the MVTec AD dataset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Lightweight Architectures</w:t>
      </w:r>
      <w:r>
        <w:t xml:space="preserve">: Explore more efficient backbone architectures to reduce computational requirements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Real-time Implementation</w:t>
      </w:r>
      <w:r>
        <w:t xml:space="preserve">: Develop a real-time anomaly detection system using the trained model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Domain Adaptation</w:t>
      </w:r>
      <w:r>
        <w:t xml:space="preserve">: Investigate transfer learning capabilities for different industrial domains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Comparative Analysis</w:t>
      </w:r>
      <w:r>
        <w:t xml:space="preserve">: Complete the comparison with CNN-based approaches across multiple datasets</w:t>
      </w:r>
    </w:p>
    <w:bookmarkEnd w:id="59"/>
    <w:bookmarkStart w:id="60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22"/>
        </w:numPr>
      </w:pPr>
      <w:r>
        <w:t xml:space="preserve">Chen, T., Kornblith, S., Norouzi, M., &amp; Hinton, G. (2020). A simple framework for contrastive learning of visual representations. In</w:t>
      </w:r>
      <w:r>
        <w:t xml:space="preserve"> </w:t>
      </w:r>
      <w:r>
        <w:rPr>
          <w:iCs/>
          <w:i/>
        </w:rPr>
        <w:t xml:space="preserve">International conference on machine learning</w:t>
      </w:r>
      <w:r>
        <w:t xml:space="preserve"> </w:t>
      </w:r>
      <w:r>
        <w:t xml:space="preserve">(pp. 1597-1607). PMLR.</w:t>
      </w:r>
    </w:p>
    <w:p>
      <w:pPr>
        <w:numPr>
          <w:ilvl w:val="0"/>
          <w:numId w:val="1022"/>
        </w:numPr>
      </w:pPr>
      <w:r>
        <w:t xml:space="preserve">Bergmann, P., Fauser, M., Sattlegger, D., &amp; Steger, C. (2019). MVTec AD — A Comprehensive Real-World Dataset for Unsupervised Anomaly Detection. In</w:t>
      </w:r>
      <w:r>
        <w:t xml:space="preserve"> </w:t>
      </w:r>
      <w:r>
        <w:rPr>
          <w:iCs/>
          <w:i/>
        </w:rPr>
        <w:t xml:space="preserve">Proceedings of the IEEE/CVF International Conference on Computer Vision</w:t>
      </w:r>
      <w:r>
        <w:t xml:space="preserve"> </w:t>
      </w:r>
      <w:r>
        <w:t xml:space="preserve">(pp. 9597-9605).</w:t>
      </w:r>
    </w:p>
    <w:p>
      <w:pPr>
        <w:numPr>
          <w:ilvl w:val="0"/>
          <w:numId w:val="1022"/>
        </w:numPr>
      </w:pPr>
      <w:r>
        <w:t xml:space="preserve">He, K., Chen, X., Xie, S., Li, Y., Dollár, P., &amp; Girshick, R. (2020). Momentum contrast for unsupervised visual representation learning. In</w:t>
      </w:r>
      <w:r>
        <w:t xml:space="preserve"> </w:t>
      </w:r>
      <w:r>
        <w:rPr>
          <w:iCs/>
          <w:i/>
        </w:rPr>
        <w:t xml:space="preserve">Proceedings of the IEEE/CVF conference on computer vision and pattern recognition</w:t>
      </w:r>
      <w:r>
        <w:t xml:space="preserve"> </w:t>
      </w:r>
      <w:r>
        <w:t xml:space="preserve">(pp. 9729-9738).</w:t>
      </w:r>
    </w:p>
    <w:p>
      <w:pPr>
        <w:numPr>
          <w:ilvl w:val="0"/>
          <w:numId w:val="1022"/>
        </w:numPr>
      </w:pPr>
      <w:r>
        <w:t xml:space="preserve">Khosla, P., Teterwak, P., Wang, C., Sarna, A., Tian, Y., Isola, P., … &amp; Torralba, A. (2020). Supervised contrastive learning. In</w:t>
      </w:r>
      <w:r>
        <w:t xml:space="preserve"> </w:t>
      </w:r>
      <w:r>
        <w:rPr>
          <w:iCs/>
          <w:i/>
        </w:rPr>
        <w:t xml:space="preserve">Advances in Neural Information Processing Systems</w:t>
      </w:r>
      <w:r>
        <w:t xml:space="preserve"> </w:t>
      </w:r>
      <w:r>
        <w:t xml:space="preserve">(33), 18661-18672.</w:t>
      </w:r>
    </w:p>
    <w:bookmarkEnd w:id="60"/>
    <w:bookmarkStart w:id="61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for academic research purposes. Please ensure compliance with the MVTec AD dataset license when using this code.</w:t>
      </w:r>
    </w:p>
    <w:bookmarkEnd w:id="61"/>
    <w:bookmarkStart w:id="62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For questions or collaboration opportunities, please contact [Your Email/Contact Information].</w:t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mvtec.com/company/research/datasets/mvtec-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mvtec.com/company/research/datasets/mvtec-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2025-08-04T17:50:47Z</dcterms:created>
  <dcterms:modified xsi:type="dcterms:W3CDTF">2025-08-04T17:50:47Z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