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sj4b4e22kmc9" w:id="0"/>
      <w:bookmarkEnd w:id="0"/>
      <w:r w:rsidDel="00000000" w:rsidR="00000000" w:rsidRPr="00000000">
        <w:rPr>
          <w:rtl w:val="0"/>
        </w:rPr>
        <w:t xml:space="preserve">Year 10 (Grade 9) Pre-Test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bk04tt02rzd" w:id="1"/>
      <w:bookmarkEnd w:id="1"/>
      <w:r w:rsidDel="00000000" w:rsidR="00000000" w:rsidRPr="00000000">
        <w:rPr>
          <w:rtl w:val="0"/>
        </w:rPr>
        <w:t xml:space="preserve">English First Language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60 minutes</w:t>
      </w:r>
      <w:r w:rsidDel="00000000" w:rsidR="00000000" w:rsidRPr="00000000">
        <w:rPr>
          <w:rtl w:val="0"/>
        </w:rPr>
        <w:t xml:space="preserve"> to complete this exam. Please write your name and school below and answer all of the following questions carefully.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Score: _____/25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exam is one question on an undisclosed poem. Read the following poem carefully. Then answer the essay question on page 3. In your answer, you should: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the poet’s use of language, including imagery and word choices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how structure and form help to convey the poet’s message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an understanding of the attitudes and values expressed in the poem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your ideas with carefully chosen references to the poem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40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what extent do you think the poet’s ideas about character are still relevant today?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Please write a minimum of 300 words. You may use the space below to plan and you may start writing on the following page.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space: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Write your essay here: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