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xifg1qu0s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YEAR 6 — ANSWER KEY &amp; MARK SCHEME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(Age 10–11)</w:t>
      </w:r>
    </w:p>
    <w:tbl>
      <w:tblPr>
        <w:tblStyle w:val="Table1"/>
        <w:tblW w:w="3760.0" w:type="dxa"/>
        <w:jc w:val="left"/>
        <w:tblLayout w:type="fixed"/>
        <w:tblLook w:val="0600"/>
      </w:tblPr>
      <w:tblGrid>
        <w:gridCol w:w="485"/>
        <w:gridCol w:w="3275"/>
        <w:tblGridChange w:id="0">
          <w:tblGrid>
            <w:gridCol w:w="485"/>
            <w:gridCol w:w="3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 (Circulatory)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 (Electron)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 (Larger surface area)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 (Independent variable)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 (Chemical)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 (Long eyelashes)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 (Evidence of past life)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Sends messages / controls body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Solar / wind / water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Solids keep shape; liquids flow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0–4</w:t>
      </w:r>
      <w:r w:rsidDel="00000000" w:rsidR="00000000" w:rsidRPr="00000000">
        <w:rPr>
          <w:rtl w:val="0"/>
        </w:rPr>
        <w:t xml:space="preserve">: Significant gaps before KS3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5–7</w:t>
      </w:r>
      <w:r w:rsidDel="00000000" w:rsidR="00000000" w:rsidRPr="00000000">
        <w:rPr>
          <w:rtl w:val="0"/>
        </w:rPr>
        <w:t xml:space="preserve">: Borderline readiness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8–10</w:t>
      </w:r>
      <w:r w:rsidDel="00000000" w:rsidR="00000000" w:rsidRPr="00000000">
        <w:rPr>
          <w:rtl w:val="0"/>
        </w:rPr>
        <w:t xml:space="preserve">: Strong KS2 mastery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