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377A4" w14:textId="77777777" w:rsidR="00FE4CCC" w:rsidRDefault="00000000">
      <w:pPr>
        <w:spacing w:after="80"/>
      </w:pPr>
      <w:r>
        <w:rPr>
          <w:b/>
          <w:bCs/>
          <w:color w:val="1A1A2E"/>
          <w:sz w:val="40"/>
          <w:szCs w:val="40"/>
        </w:rPr>
        <w:t>Researcher Field Notes</w:t>
      </w:r>
    </w:p>
    <w:p w14:paraId="6D518F2A" w14:textId="77777777" w:rsidR="00FE4CCC" w:rsidRDefault="00000000">
      <w:pPr>
        <w:spacing w:after="60"/>
      </w:pPr>
      <w:r>
        <w:rPr>
          <w:i/>
          <w:iCs/>
          <w:color w:val="006D8F"/>
          <w:sz w:val="26"/>
          <w:szCs w:val="26"/>
        </w:rPr>
        <w:t>EGFR &amp; BRCA1 — Targeted Therapy Progress Review</w:t>
      </w:r>
    </w:p>
    <w:p w14:paraId="6CEE2E20" w14:textId="77777777" w:rsidR="00FE4CCC" w:rsidRDefault="00000000">
      <w:pPr>
        <w:spacing w:after="320"/>
      </w:pPr>
      <w:r>
        <w:rPr>
          <w:color w:val="888888"/>
          <w:sz w:val="20"/>
          <w:szCs w:val="20"/>
        </w:rPr>
        <w:t>Dr. M. Chen  |  Oncology Translational Research Unit  |  June 2025</w:t>
      </w:r>
    </w:p>
    <w:p w14:paraId="086C62D0" w14:textId="77777777" w:rsidR="00FE4CCC" w:rsidRDefault="00000000">
      <w:pPr>
        <w:pStyle w:val="Heading1"/>
      </w:pPr>
      <w:r>
        <w:t>EGFR — Epidermal Growth Factor Receptor</w:t>
      </w:r>
    </w:p>
    <w:p w14:paraId="4117694E" w14:textId="77777777" w:rsidR="00FE4CCC" w:rsidRDefault="00000000">
      <w:pPr>
        <w:pStyle w:val="Heading2"/>
      </w:pPr>
      <w:r>
        <w:t>Summary of Treatment Status</w:t>
      </w:r>
    </w:p>
    <w:p w14:paraId="3A2FA177" w14:textId="77777777" w:rsidR="00FE4CCC" w:rsidRDefault="00000000">
      <w:pPr>
        <w:spacing w:before="80" w:after="120"/>
      </w:pPr>
      <w:r>
        <w:t>EGFR-mutated NSCLC has undergone a dramatic transformation over the past decade. The adoption of third-generation TKIs — principally osimertinib — as first-line therapy has set a new benchmark. The FLAURA2 trial data (osimertinib + chemotherapy) reported a median PFS of 25.5 months versus 16.7 months for osimertinib alone, suggesting that combination approaches may further delay resistance onset.</w:t>
      </w:r>
    </w:p>
    <w:p w14:paraId="50521AAF" w14:textId="77777777" w:rsidR="00FE4CCC" w:rsidRDefault="00000000">
      <w:pPr>
        <w:spacing w:before="80" w:after="120"/>
      </w:pPr>
      <w:r>
        <w:t>Our cohort currently includes 312 EGFR-mutated NSCLC patients. Of these, 248 are actively receiving osimertinib, 31 are on second-line therapy post-T790M resistance, and 33 have progressed to best supportive care or clinical trial.</w:t>
      </w:r>
    </w:p>
    <w:p w14:paraId="78D69E36" w14:textId="77777777" w:rsidR="00FE4CCC" w:rsidRDefault="00000000">
      <w:pPr>
        <w:pStyle w:val="Heading2"/>
      </w:pPr>
      <w:r>
        <w:t>Key Clinical Observations</w:t>
      </w:r>
    </w:p>
    <w:p w14:paraId="5C807A5F" w14:textId="77777777" w:rsidR="00FE4CCC" w:rsidRDefault="00000000">
      <w:pPr>
        <w:pStyle w:val="ListParagraph"/>
        <w:numPr>
          <w:ilvl w:val="0"/>
          <w:numId w:val="2"/>
        </w:numPr>
        <w:spacing w:before="40" w:after="40"/>
      </w:pPr>
      <w:r>
        <w:t>Exon 19 deletion patients continue to demonstrate superior PFS compared to L858R (median 20.1 mo vs 17.8 mo in our cohort — consistent with FLAURA data).</w:t>
      </w:r>
    </w:p>
    <w:p w14:paraId="47E378FC" w14:textId="77777777" w:rsidR="00FE4CCC" w:rsidRDefault="00000000">
      <w:pPr>
        <w:pStyle w:val="ListParagraph"/>
        <w:numPr>
          <w:ilvl w:val="0"/>
          <w:numId w:val="2"/>
        </w:numPr>
        <w:spacing w:before="40" w:after="40"/>
      </w:pPr>
      <w:r>
        <w:t>CNS penetration of osimertinib remains a clinically significant advantage; 18/22 patients with baseline brain metastases showed intracranial response.</w:t>
      </w:r>
    </w:p>
    <w:p w14:paraId="7CA539A7" w14:textId="77777777" w:rsidR="00FE4CCC" w:rsidRDefault="00000000">
      <w:pPr>
        <w:pStyle w:val="ListParagraph"/>
        <w:numPr>
          <w:ilvl w:val="0"/>
          <w:numId w:val="2"/>
        </w:numPr>
        <w:spacing w:before="40" w:after="40"/>
      </w:pPr>
      <w:r>
        <w:t>T790M resistance confirmed in 61% of progression events; remaining 39% show heterogeneous resistance mechanisms (MET amplification, HER2 amplification, C797S).</w:t>
      </w:r>
    </w:p>
    <w:p w14:paraId="69A1C143" w14:textId="77777777" w:rsidR="00FE4CCC" w:rsidRDefault="00000000">
      <w:pPr>
        <w:pStyle w:val="ListParagraph"/>
        <w:numPr>
          <w:ilvl w:val="0"/>
          <w:numId w:val="2"/>
        </w:numPr>
        <w:spacing w:before="40" w:after="40"/>
      </w:pPr>
      <w:r>
        <w:t>Two patients with exon 20 insertion were enrolled in an amivantamab compassionate use programme — early response data pending.</w:t>
      </w:r>
    </w:p>
    <w:p w14:paraId="7D802272" w14:textId="77777777" w:rsidR="00FE4CCC" w:rsidRDefault="00000000">
      <w:pPr>
        <w:pStyle w:val="Heading2"/>
      </w:pPr>
      <w:r>
        <w:t>Evidence Gaps Identified</w:t>
      </w:r>
    </w:p>
    <w:p w14:paraId="37B659F7" w14:textId="77777777" w:rsidR="00FE4CCC" w:rsidRDefault="00000000">
      <w:pPr>
        <w:spacing w:before="80" w:after="120"/>
      </w:pPr>
      <w:r>
        <w:t>The following gaps were flagged during the June team review:</w:t>
      </w:r>
    </w:p>
    <w:p w14:paraId="69A61798" w14:textId="77777777" w:rsidR="00FE4CCC" w:rsidRDefault="00000000">
      <w:pPr>
        <w:pStyle w:val="ListParagraph"/>
        <w:numPr>
          <w:ilvl w:val="0"/>
          <w:numId w:val="2"/>
        </w:numPr>
        <w:spacing w:before="40" w:after="40"/>
      </w:pPr>
      <w:r>
        <w:t>No baseline plasma ctDNA data collected for 44 patients enrolled prior to Q3 2024 — retrospective tissue biopsy is being organised.</w:t>
      </w:r>
    </w:p>
    <w:p w14:paraId="23E40B45" w14:textId="77777777" w:rsidR="00FE4CCC" w:rsidRDefault="00000000">
      <w:pPr>
        <w:pStyle w:val="ListParagraph"/>
        <w:numPr>
          <w:ilvl w:val="0"/>
          <w:numId w:val="2"/>
        </w:numPr>
        <w:spacing w:before="40" w:after="40"/>
      </w:pPr>
      <w:r>
        <w:t>Long-term CNS efficacy data beyond 24 months is insufficient in our cohort; suggest dedicated neuroimaging sub-study.</w:t>
      </w:r>
    </w:p>
    <w:p w14:paraId="7E9122DD" w14:textId="77777777" w:rsidR="00FE4CCC" w:rsidRDefault="00000000">
      <w:pPr>
        <w:pStyle w:val="ListParagraph"/>
        <w:numPr>
          <w:ilvl w:val="0"/>
          <w:numId w:val="2"/>
        </w:numPr>
        <w:spacing w:before="40" w:after="40"/>
      </w:pPr>
      <w:r>
        <w:t>Real-world OS data for T790M+ progression patients on 2nd-line osimertinib not yet analysed.</w:t>
      </w:r>
    </w:p>
    <w:p w14:paraId="20F37F75" w14:textId="77777777" w:rsidR="00FE4CCC" w:rsidRDefault="00000000">
      <w:pPr>
        <w:pStyle w:val="Heading2"/>
      </w:pPr>
      <w:r>
        <w:t>Decision Log (EGFR)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FE4CCC" w14:paraId="6B2235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06D8F"/>
            <w:tcMar>
              <w:top w:w="80" w:type="dxa"/>
              <w:left w:w="120" w:type="dxa"/>
              <w:bottom w:w="80" w:type="dxa"/>
              <w:right w:w="120" w:type="dxa"/>
            </w:tcMar>
          </w:tcPr>
          <w:p w14:paraId="386D790E" w14:textId="77777777" w:rsidR="00FE4CCC" w:rsidRDefault="00000000">
            <w:r>
              <w:rPr>
                <w:b/>
                <w:bCs/>
                <w:color w:val="FFFFFF"/>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006D8F"/>
            <w:tcMar>
              <w:top w:w="80" w:type="dxa"/>
              <w:left w:w="120" w:type="dxa"/>
              <w:bottom w:w="80" w:type="dxa"/>
              <w:right w:w="120" w:type="dxa"/>
            </w:tcMar>
          </w:tcPr>
          <w:p w14:paraId="5AC9E7D9" w14:textId="77777777" w:rsidR="00FE4CCC" w:rsidRDefault="00000000">
            <w:r>
              <w:rPr>
                <w:b/>
                <w:bCs/>
                <w:color w:val="FFFFFF"/>
                <w:sz w:val="20"/>
                <w:szCs w:val="20"/>
              </w:rPr>
              <w:t>Decision</w:t>
            </w:r>
          </w:p>
        </w:tc>
        <w:tc>
          <w:tcPr>
            <w:tcW w:w="5560" w:type="dxa"/>
            <w:tcBorders>
              <w:top w:val="single" w:sz="1" w:space="0" w:color="CCCCCC"/>
              <w:left w:val="single" w:sz="1" w:space="0" w:color="CCCCCC"/>
              <w:bottom w:val="single" w:sz="1" w:space="0" w:color="CCCCCC"/>
              <w:right w:val="single" w:sz="1" w:space="0" w:color="CCCCCC"/>
            </w:tcBorders>
            <w:shd w:val="clear" w:color="auto" w:fill="006D8F"/>
            <w:tcMar>
              <w:top w:w="80" w:type="dxa"/>
              <w:left w:w="120" w:type="dxa"/>
              <w:bottom w:w="80" w:type="dxa"/>
              <w:right w:w="120" w:type="dxa"/>
            </w:tcMar>
          </w:tcPr>
          <w:p w14:paraId="0ED060E7" w14:textId="77777777" w:rsidR="00FE4CCC" w:rsidRDefault="00000000">
            <w:r>
              <w:rPr>
                <w:b/>
                <w:bCs/>
                <w:color w:val="FFFFFF"/>
                <w:sz w:val="20"/>
                <w:szCs w:val="20"/>
              </w:rPr>
              <w:t>Details</w:t>
            </w:r>
          </w:p>
        </w:tc>
      </w:tr>
      <w:tr w:rsidR="00FE4CCC" w14:paraId="634DE8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A9B07" w14:textId="77777777" w:rsidR="00FE4CCC" w:rsidRDefault="00000000">
            <w:r>
              <w:rPr>
                <w:sz w:val="20"/>
                <w:szCs w:val="20"/>
              </w:rPr>
              <w:t>May 2025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A2AE5" w14:textId="77777777" w:rsidR="00FE4CCC" w:rsidRDefault="00000000">
            <w:r>
              <w:rPr>
                <w:b/>
                <w:bCs/>
                <w:sz w:val="20"/>
                <w:szCs w:val="20"/>
              </w:rPr>
              <w:t>Protocol update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C5461" w14:textId="77777777" w:rsidR="00FE4CCC" w:rsidRDefault="00000000">
            <w:r>
              <w:rPr>
                <w:sz w:val="20"/>
                <w:szCs w:val="20"/>
              </w:rPr>
              <w:t>Adopted osimertinib + pemetrexed/carboplatin as preferred regimen for high-burden disease per FLAURA2 data.</w:t>
            </w:r>
          </w:p>
        </w:tc>
      </w:tr>
      <w:tr w:rsidR="00FE4CCC" w14:paraId="3432C9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EFA21" w14:textId="77777777" w:rsidR="00FE4CCC" w:rsidRDefault="00000000">
            <w:r>
              <w:rPr>
                <w:sz w:val="20"/>
                <w:szCs w:val="20"/>
              </w:rPr>
              <w:t>Apr 2025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E8A0C" w14:textId="77777777" w:rsidR="00FE4CCC" w:rsidRDefault="00000000">
            <w:r>
              <w:rPr>
                <w:b/>
                <w:bCs/>
                <w:sz w:val="20"/>
                <w:szCs w:val="20"/>
              </w:rPr>
              <w:t>Biomarker expansion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2C1D5" w14:textId="77777777" w:rsidR="00FE4CCC" w:rsidRDefault="00000000">
            <w:r>
              <w:rPr>
                <w:sz w:val="20"/>
                <w:szCs w:val="20"/>
              </w:rPr>
              <w:t>Added MET amplification testing to standard resistance panel for all progressing patients.</w:t>
            </w:r>
          </w:p>
        </w:tc>
      </w:tr>
      <w:tr w:rsidR="00FE4CCC" w14:paraId="340A89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D3B37" w14:textId="77777777" w:rsidR="00FE4CCC" w:rsidRDefault="00000000">
            <w:r>
              <w:rPr>
                <w:sz w:val="20"/>
                <w:szCs w:val="20"/>
              </w:rPr>
              <w:t>Mar 2025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55B5C" w14:textId="77777777" w:rsidR="00FE4CCC" w:rsidRDefault="00000000">
            <w:r>
              <w:rPr>
                <w:b/>
                <w:bCs/>
                <w:sz w:val="20"/>
                <w:szCs w:val="20"/>
              </w:rPr>
              <w:t>Trial enrolment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EC2F8" w14:textId="77777777" w:rsidR="00FE4CCC" w:rsidRDefault="00000000">
            <w:r>
              <w:rPr>
                <w:sz w:val="20"/>
                <w:szCs w:val="20"/>
              </w:rPr>
              <w:t>Enrolled 6 patients in Phase II amivantamab + lazertinib study for exon 20 insertions.</w:t>
            </w:r>
          </w:p>
        </w:tc>
      </w:tr>
      <w:tr w:rsidR="00FE4CCC" w14:paraId="552E79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D381A" w14:textId="77777777" w:rsidR="00FE4CCC" w:rsidRDefault="00000000">
            <w:r>
              <w:rPr>
                <w:sz w:val="20"/>
                <w:szCs w:val="20"/>
              </w:rPr>
              <w:lastRenderedPageBreak/>
              <w:t>Jan 2025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DEC21" w14:textId="77777777" w:rsidR="00FE4CCC" w:rsidRDefault="00000000">
            <w:r>
              <w:rPr>
                <w:b/>
                <w:bCs/>
                <w:sz w:val="20"/>
                <w:szCs w:val="20"/>
              </w:rPr>
              <w:t>Guideline alignment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867AE" w14:textId="77777777" w:rsidR="00FE4CCC" w:rsidRDefault="00000000">
            <w:r>
              <w:rPr>
                <w:sz w:val="20"/>
                <w:szCs w:val="20"/>
              </w:rPr>
              <w:t>Updated SOP to align with NCCN v2.2025 — osimertinib monotherapy retained as standard 1st-line.</w:t>
            </w:r>
          </w:p>
        </w:tc>
      </w:tr>
    </w:tbl>
    <w:p w14:paraId="72EB434E" w14:textId="77777777" w:rsidR="00FE4CCC" w:rsidRDefault="00FE4CCC">
      <w:pPr>
        <w:pBdr>
          <w:bottom w:val="single" w:sz="4" w:space="0" w:color="DDDDDD"/>
        </w:pBdr>
        <w:spacing w:before="160" w:after="160"/>
      </w:pPr>
    </w:p>
    <w:p w14:paraId="4681FBA0" w14:textId="77777777" w:rsidR="00FE4CCC" w:rsidRDefault="00000000">
      <w:pPr>
        <w:pStyle w:val="Heading1"/>
      </w:pPr>
      <w:r>
        <w:t>BRCA1 — Breast Cancer Gene 1</w:t>
      </w:r>
    </w:p>
    <w:p w14:paraId="039EFF5F" w14:textId="77777777" w:rsidR="00FE4CCC" w:rsidRDefault="00000000">
      <w:pPr>
        <w:pStyle w:val="Heading2"/>
      </w:pPr>
      <w:r>
        <w:t>Summary of Treatment Status</w:t>
      </w:r>
    </w:p>
    <w:p w14:paraId="05B7959D" w14:textId="77777777" w:rsidR="00FE4CCC" w:rsidRDefault="00000000">
      <w:pPr>
        <w:spacing w:before="80" w:after="120"/>
      </w:pPr>
      <w:r>
        <w:t>BRCA1-associated breast and ovarian cancer treatment has been reshaped by the clinical success of PARP inhibitors, which exploit homologous recombination deficiency (HRD) through synthetic lethality. Our programme currently manages 189 patients with confirmed germline or somatic BRCA1 pathogenic variants.</w:t>
      </w:r>
    </w:p>
    <w:p w14:paraId="6EF3610E" w14:textId="77777777" w:rsidR="00FE4CCC" w:rsidRDefault="00000000">
      <w:pPr>
        <w:spacing w:before="80" w:after="120"/>
      </w:pPr>
      <w:r>
        <w:t>The OlympiA trial results (adjuvant olaparib: 42% reduction in distant relapse at 4 years) have prompted a significant expansion of our adjuvant PARP inhibitor use in early-stage high-risk BRCA1 breast cancer. We are now enrolling eligible patients at diagnosis rather than waiting for metastatic progression.</w:t>
      </w:r>
    </w:p>
    <w:p w14:paraId="09DF38B2" w14:textId="77777777" w:rsidR="00FE4CCC" w:rsidRDefault="00000000">
      <w:pPr>
        <w:pStyle w:val="Heading2"/>
      </w:pPr>
      <w:r>
        <w:t>Key Clinical Observations</w:t>
      </w:r>
    </w:p>
    <w:p w14:paraId="538EB9A3" w14:textId="77777777" w:rsidR="00FE4CCC" w:rsidRDefault="00000000">
      <w:pPr>
        <w:pStyle w:val="ListParagraph"/>
        <w:numPr>
          <w:ilvl w:val="0"/>
          <w:numId w:val="2"/>
        </w:numPr>
        <w:spacing w:before="40" w:after="40"/>
      </w:pPr>
      <w:r>
        <w:t>Olaparib remains the backbone of PARP inhibitor therapy; median PFS in our metastatic cohort is 7.0 months (consistent with OlympiAD trial).</w:t>
      </w:r>
    </w:p>
    <w:p w14:paraId="25748C2A" w14:textId="77777777" w:rsidR="00FE4CCC" w:rsidRDefault="00000000">
      <w:pPr>
        <w:pStyle w:val="ListParagraph"/>
        <w:numPr>
          <w:ilvl w:val="0"/>
          <w:numId w:val="2"/>
        </w:numPr>
        <w:spacing w:before="40" w:after="40"/>
      </w:pPr>
      <w:r>
        <w:t>Primary platinum sensitivity is a strong predictor of olaparib response in our ovarian subset — 89% response rate vs 34% in platinum-resistant patients.</w:t>
      </w:r>
    </w:p>
    <w:p w14:paraId="0331FAF5" w14:textId="77777777" w:rsidR="00FE4CCC" w:rsidRDefault="00000000">
      <w:pPr>
        <w:pStyle w:val="ListParagraph"/>
        <w:numPr>
          <w:ilvl w:val="0"/>
          <w:numId w:val="2"/>
        </w:numPr>
        <w:spacing w:before="40" w:after="40"/>
      </w:pPr>
      <w:r>
        <w:t>BRCA1 reversion mutations confirmed as resistance mechanism in 4 patients — no approved therapeutic options; enrolled in PARP + ATR inhibitor Phase II.</w:t>
      </w:r>
    </w:p>
    <w:p w14:paraId="2F75385C" w14:textId="77777777" w:rsidR="00FE4CCC" w:rsidRDefault="00000000">
      <w:pPr>
        <w:pStyle w:val="ListParagraph"/>
        <w:numPr>
          <w:ilvl w:val="0"/>
          <w:numId w:val="2"/>
        </w:numPr>
        <w:spacing w:before="40" w:after="40"/>
      </w:pPr>
      <w:r>
        <w:t>Germline testing cascade (1st-degree relatives) has identified 23 previvor patients since Jan 2025 — risk-reduction counselling pathway activated.</w:t>
      </w:r>
    </w:p>
    <w:p w14:paraId="3EFFF379" w14:textId="77777777" w:rsidR="00FE4CCC" w:rsidRDefault="00000000">
      <w:pPr>
        <w:pStyle w:val="Heading2"/>
      </w:pPr>
      <w:r>
        <w:t>Evidence Gaps &amp; Open Items</w:t>
      </w:r>
    </w:p>
    <w:p w14:paraId="7C2C2F76" w14:textId="77777777" w:rsidR="00FE4CCC" w:rsidRDefault="00000000">
      <w:pPr>
        <w:spacing w:before="80" w:after="120"/>
      </w:pPr>
      <w:r>
        <w:rPr>
          <w:b/>
          <w:bCs/>
          <w:color w:val="006D8F"/>
        </w:rPr>
        <w:t xml:space="preserve">Gap 1: </w:t>
      </w:r>
      <w:r>
        <w:t>Optimal duration of adjuvant olaparib beyond 1 year is not established — patients completing OlympiA protocol are being followed on an observational basis.</w:t>
      </w:r>
    </w:p>
    <w:p w14:paraId="4625BF26" w14:textId="77777777" w:rsidR="00FE4CCC" w:rsidRDefault="00000000">
      <w:pPr>
        <w:spacing w:before="80" w:after="120"/>
      </w:pPr>
      <w:r>
        <w:rPr>
          <w:b/>
          <w:bCs/>
          <w:color w:val="006D8F"/>
        </w:rPr>
        <w:t xml:space="preserve">Gap 2: </w:t>
      </w:r>
      <w:r>
        <w:t>BRCA1-associated triple-negative breast cancer (TNBC) subgroup (n=31) lacks a dedicated treatment pathway; currently managed per general TNBC guidelines pending further evidence.</w:t>
      </w:r>
    </w:p>
    <w:p w14:paraId="3122E341" w14:textId="77777777" w:rsidR="00FE4CCC" w:rsidRDefault="00000000">
      <w:pPr>
        <w:spacing w:before="80" w:after="120"/>
      </w:pPr>
      <w:r>
        <w:rPr>
          <w:b/>
          <w:bCs/>
          <w:color w:val="006D8F"/>
        </w:rPr>
        <w:t xml:space="preserve">Gap 3: </w:t>
      </w:r>
      <w:r>
        <w:t>Somatic BRCA1 patients (n=18) are systematically under-represented in trials — advocate for inclusion criteria broadening in next protocol revision.</w:t>
      </w:r>
    </w:p>
    <w:p w14:paraId="22751546" w14:textId="77777777" w:rsidR="00FE4CCC" w:rsidRDefault="00000000">
      <w:pPr>
        <w:spacing w:before="80" w:after="120"/>
      </w:pPr>
      <w:r>
        <w:rPr>
          <w:b/>
          <w:bCs/>
          <w:color w:val="006D8F"/>
        </w:rPr>
        <w:t xml:space="preserve">Open: </w:t>
      </w:r>
      <w:r>
        <w:t>14 patients from the 2022–2023 cohort have not had updated germline testing with expanded panel — schedule retest by Q3 2025.</w:t>
      </w:r>
    </w:p>
    <w:p w14:paraId="00BDDE0C" w14:textId="77777777" w:rsidR="00FE4CCC" w:rsidRDefault="00000000">
      <w:pPr>
        <w:pStyle w:val="Heading2"/>
      </w:pPr>
      <w:r>
        <w:t>Remarks</w:t>
      </w:r>
    </w:p>
    <w:p w14:paraId="0EFC2E01" w14:textId="77777777" w:rsidR="00FE4CCC" w:rsidRDefault="00000000">
      <w:pPr>
        <w:spacing w:before="80" w:after="120"/>
      </w:pPr>
      <w:r>
        <w:t>Overall, the BRCA1 programme is in a strong position with multiple approved therapies and an active pipeline. The primary challenge remains patient identification — BRCA testing rates in eligible populations are below 50% nationally. Our institution has implemented reflex testing at diagnosis which has improved local rates to 78%.</w:t>
      </w:r>
    </w:p>
    <w:p w14:paraId="7B7DA651" w14:textId="77777777" w:rsidR="00FE4CCC" w:rsidRDefault="00000000">
      <w:pPr>
        <w:spacing w:before="80" w:after="120"/>
      </w:pPr>
      <w:r>
        <w:t>Next team review scheduled for 15 July 2025. Agenda: interim analysis of PARP + immunotherapy combination cohort and review of resistance management SOPs.</w:t>
      </w:r>
    </w:p>
    <w:sectPr w:rsidR="00FE4CCC">
      <w:head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58B01" w14:textId="77777777" w:rsidR="001713B1" w:rsidRDefault="001713B1">
      <w:r>
        <w:separator/>
      </w:r>
    </w:p>
  </w:endnote>
  <w:endnote w:type="continuationSeparator" w:id="0">
    <w:p w14:paraId="76FCA069" w14:textId="77777777" w:rsidR="001713B1" w:rsidRDefault="00171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8467D" w14:textId="77777777" w:rsidR="001713B1" w:rsidRDefault="001713B1">
      <w:r>
        <w:separator/>
      </w:r>
    </w:p>
  </w:footnote>
  <w:footnote w:type="continuationSeparator" w:id="0">
    <w:p w14:paraId="4258D4DF" w14:textId="77777777" w:rsidR="001713B1" w:rsidRDefault="001713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C768" w14:textId="77777777" w:rsidR="00FE4CCC" w:rsidRDefault="00000000">
    <w:pPr>
      <w:pBdr>
        <w:bottom w:val="single" w:sz="4" w:space="0" w:color="006D8F"/>
      </w:pBdr>
      <w:jc w:val="right"/>
    </w:pPr>
    <w:r>
      <w:rPr>
        <w:color w:val="888888"/>
        <w:sz w:val="18"/>
        <w:szCs w:val="18"/>
      </w:rPr>
      <w:t>CONFIDENTIAL — Oncology Intelligence Notes  |  EGFR &amp; BRCA1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7F8E"/>
    <w:multiLevelType w:val="hybridMultilevel"/>
    <w:tmpl w:val="FC085238"/>
    <w:lvl w:ilvl="0" w:tplc="86865866">
      <w:start w:val="1"/>
      <w:numFmt w:val="bullet"/>
      <w:lvlText w:val="●"/>
      <w:lvlJc w:val="left"/>
      <w:pPr>
        <w:ind w:left="720" w:hanging="360"/>
      </w:pPr>
    </w:lvl>
    <w:lvl w:ilvl="1" w:tplc="976697F8">
      <w:start w:val="1"/>
      <w:numFmt w:val="bullet"/>
      <w:lvlText w:val="○"/>
      <w:lvlJc w:val="left"/>
      <w:pPr>
        <w:ind w:left="1440" w:hanging="360"/>
      </w:pPr>
    </w:lvl>
    <w:lvl w:ilvl="2" w:tplc="B14E809C">
      <w:start w:val="1"/>
      <w:numFmt w:val="bullet"/>
      <w:lvlText w:val="■"/>
      <w:lvlJc w:val="left"/>
      <w:pPr>
        <w:ind w:left="2160" w:hanging="360"/>
      </w:pPr>
    </w:lvl>
    <w:lvl w:ilvl="3" w:tplc="3F66BD9C">
      <w:start w:val="1"/>
      <w:numFmt w:val="bullet"/>
      <w:lvlText w:val="●"/>
      <w:lvlJc w:val="left"/>
      <w:pPr>
        <w:ind w:left="2880" w:hanging="360"/>
      </w:pPr>
    </w:lvl>
    <w:lvl w:ilvl="4" w:tplc="A9A0FD34">
      <w:start w:val="1"/>
      <w:numFmt w:val="bullet"/>
      <w:lvlText w:val="○"/>
      <w:lvlJc w:val="left"/>
      <w:pPr>
        <w:ind w:left="3600" w:hanging="360"/>
      </w:pPr>
    </w:lvl>
    <w:lvl w:ilvl="5" w:tplc="5E14B01C">
      <w:start w:val="1"/>
      <w:numFmt w:val="bullet"/>
      <w:lvlText w:val="■"/>
      <w:lvlJc w:val="left"/>
      <w:pPr>
        <w:ind w:left="4320" w:hanging="360"/>
      </w:pPr>
    </w:lvl>
    <w:lvl w:ilvl="6" w:tplc="D6446A6A">
      <w:start w:val="1"/>
      <w:numFmt w:val="bullet"/>
      <w:lvlText w:val="●"/>
      <w:lvlJc w:val="left"/>
      <w:pPr>
        <w:ind w:left="5040" w:hanging="360"/>
      </w:pPr>
    </w:lvl>
    <w:lvl w:ilvl="7" w:tplc="C47409E4">
      <w:start w:val="1"/>
      <w:numFmt w:val="bullet"/>
      <w:lvlText w:val="●"/>
      <w:lvlJc w:val="left"/>
      <w:pPr>
        <w:ind w:left="5760" w:hanging="360"/>
      </w:pPr>
    </w:lvl>
    <w:lvl w:ilvl="8" w:tplc="A962C3FE">
      <w:start w:val="1"/>
      <w:numFmt w:val="bullet"/>
      <w:lvlText w:val="●"/>
      <w:lvlJc w:val="left"/>
      <w:pPr>
        <w:ind w:left="6480" w:hanging="360"/>
      </w:pPr>
    </w:lvl>
  </w:abstractNum>
  <w:abstractNum w:abstractNumId="1" w15:restartNumberingAfterBreak="0">
    <w:nsid w:val="1C06391F"/>
    <w:multiLevelType w:val="hybridMultilevel"/>
    <w:tmpl w:val="1C02DAB8"/>
    <w:lvl w:ilvl="0" w:tplc="599E65DE">
      <w:start w:val="1"/>
      <w:numFmt w:val="bullet"/>
      <w:lvlText w:val="•"/>
      <w:lvlJc w:val="left"/>
      <w:pPr>
        <w:ind w:left="720" w:hanging="360"/>
      </w:pPr>
    </w:lvl>
    <w:lvl w:ilvl="1" w:tplc="93C68F72">
      <w:numFmt w:val="decimal"/>
      <w:lvlText w:val=""/>
      <w:lvlJc w:val="left"/>
    </w:lvl>
    <w:lvl w:ilvl="2" w:tplc="B3984440">
      <w:numFmt w:val="decimal"/>
      <w:lvlText w:val=""/>
      <w:lvlJc w:val="left"/>
    </w:lvl>
    <w:lvl w:ilvl="3" w:tplc="972040B6">
      <w:numFmt w:val="decimal"/>
      <w:lvlText w:val=""/>
      <w:lvlJc w:val="left"/>
    </w:lvl>
    <w:lvl w:ilvl="4" w:tplc="ED4AB076">
      <w:numFmt w:val="decimal"/>
      <w:lvlText w:val=""/>
      <w:lvlJc w:val="left"/>
    </w:lvl>
    <w:lvl w:ilvl="5" w:tplc="3B72FF22">
      <w:numFmt w:val="decimal"/>
      <w:lvlText w:val=""/>
      <w:lvlJc w:val="left"/>
    </w:lvl>
    <w:lvl w:ilvl="6" w:tplc="4CA4A0B8">
      <w:numFmt w:val="decimal"/>
      <w:lvlText w:val=""/>
      <w:lvlJc w:val="left"/>
    </w:lvl>
    <w:lvl w:ilvl="7" w:tplc="465C8D58">
      <w:numFmt w:val="decimal"/>
      <w:lvlText w:val=""/>
      <w:lvlJc w:val="left"/>
    </w:lvl>
    <w:lvl w:ilvl="8" w:tplc="EF4E45BE">
      <w:numFmt w:val="decimal"/>
      <w:lvlText w:val=""/>
      <w:lvlJc w:val="left"/>
    </w:lvl>
  </w:abstractNum>
  <w:num w:numId="1" w16cid:durableId="1621840760">
    <w:abstractNumId w:val="0"/>
    <w:lvlOverride w:ilvl="0">
      <w:startOverride w:val="1"/>
    </w:lvlOverride>
  </w:num>
  <w:num w:numId="2" w16cid:durableId="17268767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CCC"/>
    <w:rsid w:val="001713B1"/>
    <w:rsid w:val="00321749"/>
    <w:rsid w:val="00EA5E11"/>
    <w:rsid w:val="00FE4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E3295"/>
  <w15:docId w15:val="{825078E5-2A52-400F-AEE7-B1C8070E3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1A2E"/>
      <w:sz w:val="28"/>
      <w:szCs w:val="28"/>
    </w:rPr>
  </w:style>
  <w:style w:type="paragraph" w:styleId="Heading2">
    <w:name w:val="heading 2"/>
    <w:uiPriority w:val="9"/>
    <w:unhideWhenUsed/>
    <w:qFormat/>
    <w:pPr>
      <w:spacing w:before="240" w:after="120"/>
      <w:outlineLvl w:val="1"/>
    </w:pPr>
    <w:rPr>
      <w:b/>
      <w:bCs/>
      <w:color w:val="006D8F"/>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727</Words>
  <Characters>4149</Characters>
  <Application>Microsoft Office Word</Application>
  <DocSecurity>0</DocSecurity>
  <Lines>34</Lines>
  <Paragraphs>9</Paragraphs>
  <ScaleCrop>false</ScaleCrop>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Gupta, Kashish</cp:lastModifiedBy>
  <cp:revision>2</cp:revision>
  <dcterms:created xsi:type="dcterms:W3CDTF">2026-06-04T00:04:00Z</dcterms:created>
  <dcterms:modified xsi:type="dcterms:W3CDTF">2026-06-04T00:04:00Z</dcterms:modified>
</cp:coreProperties>
</file>