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4E21" w14:textId="77777777" w:rsidR="005E5FB7" w:rsidRDefault="00000000">
      <w:pPr>
        <w:spacing w:after="80"/>
      </w:pPr>
      <w:r>
        <w:rPr>
          <w:b/>
          <w:bCs/>
          <w:color w:val="1B1F2E"/>
          <w:sz w:val="40"/>
          <w:szCs w:val="40"/>
        </w:rPr>
        <w:t>Researcher Field Notes</w:t>
      </w:r>
    </w:p>
    <w:p w14:paraId="160D1B3D" w14:textId="77777777" w:rsidR="005E5FB7" w:rsidRDefault="00000000">
      <w:pPr>
        <w:spacing w:after="60"/>
      </w:pPr>
      <w:r>
        <w:rPr>
          <w:i/>
          <w:iCs/>
          <w:color w:val="5A1E96"/>
          <w:sz w:val="26"/>
          <w:szCs w:val="26"/>
        </w:rPr>
        <w:t>PTEN &amp; IDH1 — PI3K Pathway Inhibition &amp; Metabolic Targeting</w:t>
      </w:r>
    </w:p>
    <w:p w14:paraId="0FDA9F12" w14:textId="77777777" w:rsidR="005E5FB7" w:rsidRDefault="00000000">
      <w:pPr>
        <w:spacing w:after="320"/>
      </w:pPr>
      <w:r>
        <w:rPr>
          <w:color w:val="888888"/>
          <w:sz w:val="20"/>
          <w:szCs w:val="20"/>
        </w:rPr>
        <w:t>Dr. R. Patel  |  Molecular Oncology Research Group  |  June 2025</w:t>
      </w:r>
    </w:p>
    <w:p w14:paraId="511539F3" w14:textId="77777777" w:rsidR="005E5FB7" w:rsidRDefault="00000000">
      <w:pPr>
        <w:pStyle w:val="Heading1"/>
      </w:pPr>
      <w:r>
        <w:t>PTEN — Phosphatase and Tensin Homolog</w:t>
      </w:r>
    </w:p>
    <w:p w14:paraId="365CF2E6" w14:textId="77777777" w:rsidR="005E5FB7" w:rsidRDefault="00000000">
      <w:pPr>
        <w:pStyle w:val="Heading2"/>
      </w:pPr>
      <w:r>
        <w:t>Treatment Landscape Overview</w:t>
      </w:r>
    </w:p>
    <w:p w14:paraId="26DF304E" w14:textId="77777777" w:rsidR="005E5FB7" w:rsidRDefault="00000000">
      <w:pPr>
        <w:spacing w:before="80" w:after="120"/>
      </w:pPr>
      <w:r>
        <w:t>PTEN loss is one of the most prevalent tumour suppressor alterations in cancer, yet it has been challenging to target directly. The therapeutic strategy has therefore focused on downstream PI3K/AKT/mTOR pathway inhibition. Recent FDA approvals of alpelisib (2019), capivasertib (2023), and inavolisib (2024) have significantly expanded the toolkit for patients with PIK3CA/AKT/PTEN alterations.</w:t>
      </w:r>
    </w:p>
    <w:p w14:paraId="5B4CF681" w14:textId="77777777" w:rsidR="005E5FB7" w:rsidRDefault="00000000">
      <w:pPr>
        <w:spacing w:before="80" w:after="120"/>
      </w:pPr>
      <w:r>
        <w:t>An important clinical nuance: PTEN loss does not necessarily equate to PIK3CA mutation. Patients with PTEN loss alone may respond differently to PI3Kα-selective inhibitors versus AKT inhibitors. Our current protocol stratifies patients by specific molecular alteration before therapy assignment.</w:t>
      </w:r>
    </w:p>
    <w:p w14:paraId="3299885C" w14:textId="77777777" w:rsidR="005E5FB7" w:rsidRDefault="00000000">
      <w:pPr>
        <w:pStyle w:val="Heading2"/>
      </w:pPr>
      <w:r>
        <w:t>Programme Patient Summary</w:t>
      </w:r>
    </w:p>
    <w:p w14:paraId="4710EE90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HR+ Breast (PI3K pathway): 342 enrolled; 218 active on alpelisib (n=134), capivasertib (n=64), or inavolisib (n=20).</w:t>
      </w:r>
    </w:p>
    <w:p w14:paraId="6F9CEC8A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Endometrial (PTEN-mutated): 156 enrolled; 98 on everolimus-based regimens; 58 on watchful waiting/surveillance.</w:t>
      </w:r>
    </w:p>
    <w:p w14:paraId="722B6F5A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GBM pilot (PTEN deletion): 87 enrolled; 41 treated with everolimus + temozolomide combination; 46 in observation arm.</w:t>
      </w:r>
    </w:p>
    <w:p w14:paraId="075BCE67" w14:textId="77777777" w:rsidR="005E5FB7" w:rsidRDefault="00000000">
      <w:pPr>
        <w:pStyle w:val="Heading2"/>
      </w:pPr>
      <w:r>
        <w:t>Key Findings &amp; Observations</w:t>
      </w:r>
    </w:p>
    <w:p w14:paraId="6809FEE3" w14:textId="77777777" w:rsidR="005E5FB7" w:rsidRDefault="00000000">
      <w:pPr>
        <w:pBdr>
          <w:left w:val="single" w:sz="12" w:space="0" w:color="5A1E96"/>
        </w:pBdr>
        <w:spacing w:before="120" w:after="120"/>
        <w:ind w:left="360"/>
      </w:pPr>
      <w:r>
        <w:rPr>
          <w:b/>
          <w:bCs/>
          <w:color w:val="5A1E96"/>
        </w:rPr>
        <w:t xml:space="preserve">Observation  </w:t>
      </w:r>
      <w:r>
        <w:t>Hyperglycaemia management is the dominant clinical challenge with alpelisib — 34% of patients in our cohort required metformin initiation or dose modification. Endocrinology co-management protocol implemented in Feb 2025 has reduced Grade 3+ hyperglycaemia from 18% to 9%.</w:t>
      </w:r>
    </w:p>
    <w:p w14:paraId="62843084" w14:textId="77777777" w:rsidR="005E5FB7" w:rsidRDefault="005E5FB7">
      <w:pPr>
        <w:spacing w:before="80" w:after="120"/>
      </w:pPr>
    </w:p>
    <w:p w14:paraId="044620EE" w14:textId="77777777" w:rsidR="005E5FB7" w:rsidRDefault="00000000">
      <w:pPr>
        <w:pBdr>
          <w:left w:val="single" w:sz="12" w:space="0" w:color="5A1E96"/>
        </w:pBdr>
        <w:spacing w:before="120" w:after="120"/>
        <w:ind w:left="360"/>
      </w:pPr>
      <w:r>
        <w:rPr>
          <w:b/>
          <w:bCs/>
          <w:color w:val="5A1E96"/>
        </w:rPr>
        <w:t xml:space="preserve">Observation  </w:t>
      </w:r>
      <w:r>
        <w:t>Capivasertib + fulvestrant combination (CAPItello-291 regimen) shows superior PFS in PIK3CA/AKT1/PTEN-altered patients (7.3 mo) versus unselected population (3.1 mo) — molecular stratification is critical.</w:t>
      </w:r>
    </w:p>
    <w:p w14:paraId="116A104C" w14:textId="77777777" w:rsidR="005E5FB7" w:rsidRDefault="005E5FB7">
      <w:pPr>
        <w:spacing w:before="80" w:after="120"/>
      </w:pPr>
    </w:p>
    <w:p w14:paraId="2CFFF22D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Resistance patterns: PI3K inhibitor resistance is multifactorial — RAS/MAPK pathway upregulation observed in 6 progressing patients; combination CDK4/6 + PI3K inhibitor strategy being initiated.</w:t>
      </w:r>
    </w:p>
    <w:p w14:paraId="71FA7585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GBM outcomes remain disappointing — 12% ORR in our pilot. Blood-brain barrier penetration of current PI3K inhibitors is likely insufficient. Highlight as major evidence gap.</w:t>
      </w:r>
    </w:p>
    <w:p w14:paraId="307B72F7" w14:textId="77777777" w:rsidR="005E5FB7" w:rsidRDefault="00000000">
      <w:pPr>
        <w:pStyle w:val="Heading2"/>
      </w:pPr>
      <w:r>
        <w:t>Decision Log (PTEN Programme)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7680"/>
      </w:tblGrid>
      <w:tr w:rsidR="005E5FB7" w14:paraId="6452246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1E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4D1E" w14:textId="77777777" w:rsidR="005E5FB7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1E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3425" w14:textId="77777777" w:rsidR="005E5FB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&amp; Rationale</w:t>
            </w:r>
          </w:p>
        </w:tc>
      </w:tr>
      <w:tr w:rsidR="005E5FB7" w14:paraId="04B6C64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E075" w14:textId="77777777" w:rsidR="005E5FB7" w:rsidRDefault="00000000">
            <w:r>
              <w:rPr>
                <w:sz w:val="20"/>
                <w:szCs w:val="20"/>
              </w:rPr>
              <w:t>Jun 2025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BC32" w14:textId="77777777" w:rsidR="005E5FB7" w:rsidRDefault="00000000">
            <w:r>
              <w:rPr>
                <w:sz w:val="20"/>
                <w:szCs w:val="20"/>
              </w:rPr>
              <w:t>Added inavolisib + palbociclib + fulvestrant to formulary for PIK3CA-mutated HR+ breast — INAVO120 trial data supports superior PFS of 15.0 mo vs 7.3 mo.</w:t>
            </w:r>
          </w:p>
        </w:tc>
      </w:tr>
      <w:tr w:rsidR="005E5FB7" w14:paraId="39ED646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30EE" w14:textId="77777777" w:rsidR="005E5FB7" w:rsidRDefault="00000000">
            <w:r>
              <w:rPr>
                <w:sz w:val="20"/>
                <w:szCs w:val="20"/>
              </w:rPr>
              <w:lastRenderedPageBreak/>
              <w:t>May 2025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16B2" w14:textId="77777777" w:rsidR="005E5FB7" w:rsidRDefault="00000000">
            <w:r>
              <w:rPr>
                <w:sz w:val="20"/>
                <w:szCs w:val="20"/>
              </w:rPr>
              <w:t>Initiated endocrinology co-management pathway for all alpelisib patients — reduces hyperglycaemia AEs.</w:t>
            </w:r>
          </w:p>
        </w:tc>
      </w:tr>
      <w:tr w:rsidR="005E5FB7" w14:paraId="4612835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D1E3" w14:textId="77777777" w:rsidR="005E5FB7" w:rsidRDefault="00000000">
            <w:r>
              <w:rPr>
                <w:sz w:val="20"/>
                <w:szCs w:val="20"/>
              </w:rPr>
              <w:t>Mar 2025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C9F5" w14:textId="77777777" w:rsidR="005E5FB7" w:rsidRDefault="00000000">
            <w:r>
              <w:rPr>
                <w:sz w:val="20"/>
                <w:szCs w:val="20"/>
              </w:rPr>
              <w:t>Paused GBM everolimus arm pending interim analysis — futility boundary crossed at 6-month review.</w:t>
            </w:r>
          </w:p>
        </w:tc>
      </w:tr>
      <w:tr w:rsidR="005E5FB7" w14:paraId="2C0186B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5115" w14:textId="77777777" w:rsidR="005E5FB7" w:rsidRDefault="00000000">
            <w:r>
              <w:rPr>
                <w:sz w:val="20"/>
                <w:szCs w:val="20"/>
              </w:rPr>
              <w:t>Feb 2025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807A" w14:textId="77777777" w:rsidR="005E5FB7" w:rsidRDefault="00000000">
            <w:r>
              <w:rPr>
                <w:sz w:val="20"/>
                <w:szCs w:val="20"/>
              </w:rPr>
              <w:t>Updated molecular testing panel to include PTEN IHC + sequencing for all new HR+ breast enrolments.</w:t>
            </w:r>
          </w:p>
        </w:tc>
      </w:tr>
    </w:tbl>
    <w:p w14:paraId="519ABFE6" w14:textId="77777777" w:rsidR="005E5FB7" w:rsidRDefault="005E5FB7">
      <w:pPr>
        <w:pBdr>
          <w:bottom w:val="single" w:sz="4" w:space="0" w:color="DDDDDD"/>
        </w:pBdr>
        <w:spacing w:before="160" w:after="160"/>
      </w:pPr>
    </w:p>
    <w:p w14:paraId="38C0C015" w14:textId="77777777" w:rsidR="005E5FB7" w:rsidRDefault="00000000">
      <w:pPr>
        <w:pStyle w:val="Heading1"/>
      </w:pPr>
      <w:r>
        <w:t>IDH1 — Isocitrate Dehydrogenase 1</w:t>
      </w:r>
    </w:p>
    <w:p w14:paraId="5595C430" w14:textId="77777777" w:rsidR="005E5FB7" w:rsidRDefault="00000000">
      <w:pPr>
        <w:pStyle w:val="Heading2"/>
      </w:pPr>
      <w:r>
        <w:rPr>
          <w:color w:val="1A6B35"/>
        </w:rPr>
        <w:t>Treatment Landscape Overview</w:t>
      </w:r>
    </w:p>
    <w:p w14:paraId="6D94481E" w14:textId="77777777" w:rsidR="005E5FB7" w:rsidRDefault="00000000">
      <w:pPr>
        <w:spacing w:before="80" w:after="120"/>
      </w:pPr>
      <w:r>
        <w:t>IDH1-mutant cancers represent a paradigm shift in oncology: a metabolic enzyme mutation that creates a directly druggable neomorphic activity. The accumulation of 2-hydroxyglutarate (2-HG) is now a validated pharmacodynamic biomarker — plasma 2-HG levels can be monitored to confirm target engagement during treatment, a rare example of a circulating metabolite serving as a real-time therapy monitor.</w:t>
      </w:r>
    </w:p>
    <w:p w14:paraId="6C9F8934" w14:textId="77777777" w:rsidR="005E5FB7" w:rsidRDefault="00000000">
      <w:pPr>
        <w:spacing w:before="80" w:after="120"/>
      </w:pPr>
      <w:r>
        <w:t>Two IDH1 inhibitors are now approved: ivosidenib (AML and cholangiocarcinoma) and olutasidenib (AML). The field is now extending into IDH1-mutant glioma, where the INDIGO trial (vorasidenib, a CNS-penetrant dual IDH1/2 inhibitor) showed 17-month PFS improvement over placebo.</w:t>
      </w:r>
    </w:p>
    <w:p w14:paraId="3F5F75B8" w14:textId="77777777" w:rsidR="005E5FB7" w:rsidRDefault="00000000">
      <w:pPr>
        <w:pStyle w:val="Heading2"/>
      </w:pPr>
      <w:r>
        <w:t>Programme Patient Summary</w:t>
      </w:r>
    </w:p>
    <w:p w14:paraId="4C33E7FD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AML (IDH1-mutant): 412 enrolled; 289 on IDH1 inhibitor-based therapy (ivosidenib n=201, olutasidenib n=88); 123 in remission consolidation.</w:t>
      </w:r>
    </w:p>
    <w:p w14:paraId="7E57AE12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Cholangiocarcinoma: 203 enrolled; 167 on ivosidenib maintenance; 36 progressed to 2nd line or BSC.</w:t>
      </w:r>
    </w:p>
    <w:p w14:paraId="04BDEE97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Glioma (Grade 2–3, IDH1-mutant): 178 enrolled; 134 on vorasidenib (expanded access/trial); 44 slots remaining to reach Phase III target.</w:t>
      </w:r>
    </w:p>
    <w:p w14:paraId="0576C8B0" w14:textId="77777777" w:rsidR="005E5FB7" w:rsidRDefault="00000000">
      <w:pPr>
        <w:pStyle w:val="Heading2"/>
      </w:pPr>
      <w:r>
        <w:t>Key Findings &amp; Observations</w:t>
      </w:r>
    </w:p>
    <w:p w14:paraId="38FDB366" w14:textId="77777777" w:rsidR="005E5FB7" w:rsidRDefault="00000000">
      <w:pPr>
        <w:pBdr>
          <w:left w:val="single" w:sz="12" w:space="0" w:color="1A6B35"/>
        </w:pBdr>
        <w:spacing w:before="120" w:after="120"/>
        <w:ind w:left="360"/>
      </w:pPr>
      <w:r>
        <w:rPr>
          <w:b/>
          <w:bCs/>
          <w:color w:val="1A6B35"/>
        </w:rPr>
        <w:t xml:space="preserve">Critical  </w:t>
      </w:r>
      <w:r>
        <w:t>IDH differentiation syndrome (DS) affects 10–19% of AML patients on IDH1 inhibitors. Our revised DS management protocol (prophylactic corticosteroids for high-risk patients + early recognition criteria) has reduced Grade 3+ DS from 12% to 6% since implementation in November 2024.</w:t>
      </w:r>
    </w:p>
    <w:p w14:paraId="77D81104" w14:textId="77777777" w:rsidR="005E5FB7" w:rsidRDefault="005E5FB7">
      <w:pPr>
        <w:spacing w:before="80" w:after="120"/>
      </w:pPr>
    </w:p>
    <w:p w14:paraId="3711B2CD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Plasma 2-HG monitoring: patients with &gt;50% reduction in 2-HG at week 4 show significantly higher CR rates (67% vs 28% in poor responders). Recommend formal 2-HG monitoring sub-study.</w:t>
      </w:r>
    </w:p>
    <w:p w14:paraId="3D052F20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Glioma patients on vorasidenib: seizure frequency reduced in 71% of patients with baseline seizures — clinically meaningful QoL benefit even before imaging response confirmed.</w:t>
      </w:r>
    </w:p>
    <w:p w14:paraId="0AEDB180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Co-mutations matter: IDH1 + NPM1 mutant AML (n=84) shows CR rate of 48% vs 29% for IDH1-only — sub-group analysis underway for protocol stratification.</w:t>
      </w:r>
    </w:p>
    <w:p w14:paraId="5BBF2AEE" w14:textId="77777777" w:rsidR="005E5FB7" w:rsidRDefault="00000000">
      <w:pPr>
        <w:pStyle w:val="Heading2"/>
      </w:pPr>
      <w:r>
        <w:t>Evidence Gaps &amp; Open Items</w:t>
      </w:r>
    </w:p>
    <w:p w14:paraId="4FDEC57A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No established 2nd-line therapy after ivosidenib failure in cholangiocarcinoma — 36 progressing patients have limited options; FGFR inhibitors being explored off-protocol.</w:t>
      </w:r>
    </w:p>
    <w:p w14:paraId="304AAB12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IDH1/IDH2 co-mutation in 7 patients — unclear which inhibitor is preferred; protocol does not address this scenario. Urgent review needed.</w:t>
      </w:r>
    </w:p>
    <w:p w14:paraId="3B918B89" w14:textId="77777777" w:rsidR="005E5FB7" w:rsidRDefault="00000000">
      <w:pPr>
        <w:pStyle w:val="ListParagraph"/>
        <w:numPr>
          <w:ilvl w:val="0"/>
          <w:numId w:val="2"/>
        </w:numPr>
        <w:spacing w:before="40" w:after="40"/>
      </w:pPr>
      <w:r>
        <w:t>Long-term remission data in glioma beyond 2 years is absent — IDH inhibition may delay but not cure; monitor for late resistance.</w:t>
      </w:r>
    </w:p>
    <w:p w14:paraId="59A2D0DF" w14:textId="77777777" w:rsidR="005E5FB7" w:rsidRDefault="00000000">
      <w:pPr>
        <w:spacing w:before="280" w:after="80"/>
      </w:pPr>
      <w:r>
        <w:rPr>
          <w:b/>
          <w:bCs/>
          <w:color w:val="1A6B35"/>
        </w:rPr>
        <w:t>Next Steps</w:t>
      </w:r>
    </w:p>
    <w:p w14:paraId="5633ED80" w14:textId="77777777" w:rsidR="005E5FB7" w:rsidRDefault="00000000">
      <w:pPr>
        <w:spacing w:before="80" w:after="120"/>
      </w:pPr>
      <w:r>
        <w:t>Team review scheduled 15 July 2025. Priority items: vorasidenib enrolment completion, 2-HG sub-study design approval, and IDH1/2 co-mutation protocol amendment.</w:t>
      </w:r>
    </w:p>
    <w:sectPr w:rsidR="005E5FB7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0A3D" w14:textId="77777777" w:rsidR="00ED50D0" w:rsidRDefault="00ED50D0">
      <w:r>
        <w:separator/>
      </w:r>
    </w:p>
  </w:endnote>
  <w:endnote w:type="continuationSeparator" w:id="0">
    <w:p w14:paraId="6384087D" w14:textId="77777777" w:rsidR="00ED50D0" w:rsidRDefault="00ED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145F" w14:textId="77777777" w:rsidR="00ED50D0" w:rsidRDefault="00ED50D0">
      <w:r>
        <w:separator/>
      </w:r>
    </w:p>
  </w:footnote>
  <w:footnote w:type="continuationSeparator" w:id="0">
    <w:p w14:paraId="78B0FD77" w14:textId="77777777" w:rsidR="00ED50D0" w:rsidRDefault="00ED5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E946" w14:textId="77777777" w:rsidR="005E5FB7" w:rsidRDefault="00000000">
    <w:pPr>
      <w:pBdr>
        <w:bottom w:val="single" w:sz="4" w:space="0" w:color="5A1E96"/>
      </w:pBdr>
      <w:jc w:val="right"/>
    </w:pPr>
    <w:r>
      <w:rPr>
        <w:color w:val="888888"/>
        <w:sz w:val="18"/>
        <w:szCs w:val="18"/>
      </w:rPr>
      <w:t>CONFIDENTIAL — Oncology Intelligence Notes  |  PTEN &amp; IDH1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B46"/>
    <w:multiLevelType w:val="hybridMultilevel"/>
    <w:tmpl w:val="1F4ACB20"/>
    <w:lvl w:ilvl="0" w:tplc="1108AADA">
      <w:start w:val="1"/>
      <w:numFmt w:val="bullet"/>
      <w:lvlText w:val="●"/>
      <w:lvlJc w:val="left"/>
      <w:pPr>
        <w:ind w:left="720" w:hanging="360"/>
      </w:pPr>
    </w:lvl>
    <w:lvl w:ilvl="1" w:tplc="175EF782">
      <w:start w:val="1"/>
      <w:numFmt w:val="bullet"/>
      <w:lvlText w:val="○"/>
      <w:lvlJc w:val="left"/>
      <w:pPr>
        <w:ind w:left="1440" w:hanging="360"/>
      </w:pPr>
    </w:lvl>
    <w:lvl w:ilvl="2" w:tplc="D196E552">
      <w:start w:val="1"/>
      <w:numFmt w:val="bullet"/>
      <w:lvlText w:val="■"/>
      <w:lvlJc w:val="left"/>
      <w:pPr>
        <w:ind w:left="2160" w:hanging="360"/>
      </w:pPr>
    </w:lvl>
    <w:lvl w:ilvl="3" w:tplc="3710CF08">
      <w:start w:val="1"/>
      <w:numFmt w:val="bullet"/>
      <w:lvlText w:val="●"/>
      <w:lvlJc w:val="left"/>
      <w:pPr>
        <w:ind w:left="2880" w:hanging="360"/>
      </w:pPr>
    </w:lvl>
    <w:lvl w:ilvl="4" w:tplc="FA8C8270">
      <w:start w:val="1"/>
      <w:numFmt w:val="bullet"/>
      <w:lvlText w:val="○"/>
      <w:lvlJc w:val="left"/>
      <w:pPr>
        <w:ind w:left="3600" w:hanging="360"/>
      </w:pPr>
    </w:lvl>
    <w:lvl w:ilvl="5" w:tplc="8D3CD822">
      <w:start w:val="1"/>
      <w:numFmt w:val="bullet"/>
      <w:lvlText w:val="■"/>
      <w:lvlJc w:val="left"/>
      <w:pPr>
        <w:ind w:left="4320" w:hanging="360"/>
      </w:pPr>
    </w:lvl>
    <w:lvl w:ilvl="6" w:tplc="1FFEACCE">
      <w:start w:val="1"/>
      <w:numFmt w:val="bullet"/>
      <w:lvlText w:val="●"/>
      <w:lvlJc w:val="left"/>
      <w:pPr>
        <w:ind w:left="5040" w:hanging="360"/>
      </w:pPr>
    </w:lvl>
    <w:lvl w:ilvl="7" w:tplc="EBBE8F1C">
      <w:start w:val="1"/>
      <w:numFmt w:val="bullet"/>
      <w:lvlText w:val="●"/>
      <w:lvlJc w:val="left"/>
      <w:pPr>
        <w:ind w:left="5760" w:hanging="360"/>
      </w:pPr>
    </w:lvl>
    <w:lvl w:ilvl="8" w:tplc="88BE49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D11D7A"/>
    <w:multiLevelType w:val="hybridMultilevel"/>
    <w:tmpl w:val="10CEFDEA"/>
    <w:lvl w:ilvl="0" w:tplc="815068B2">
      <w:start w:val="1"/>
      <w:numFmt w:val="bullet"/>
      <w:lvlText w:val="•"/>
      <w:lvlJc w:val="left"/>
      <w:pPr>
        <w:ind w:left="720" w:hanging="360"/>
      </w:pPr>
    </w:lvl>
    <w:lvl w:ilvl="1" w:tplc="012A1352">
      <w:numFmt w:val="decimal"/>
      <w:lvlText w:val=""/>
      <w:lvlJc w:val="left"/>
    </w:lvl>
    <w:lvl w:ilvl="2" w:tplc="7B284DDC">
      <w:numFmt w:val="decimal"/>
      <w:lvlText w:val=""/>
      <w:lvlJc w:val="left"/>
    </w:lvl>
    <w:lvl w:ilvl="3" w:tplc="4694ED46">
      <w:numFmt w:val="decimal"/>
      <w:lvlText w:val=""/>
      <w:lvlJc w:val="left"/>
    </w:lvl>
    <w:lvl w:ilvl="4" w:tplc="3246F332">
      <w:numFmt w:val="decimal"/>
      <w:lvlText w:val=""/>
      <w:lvlJc w:val="left"/>
    </w:lvl>
    <w:lvl w:ilvl="5" w:tplc="8A38F310">
      <w:numFmt w:val="decimal"/>
      <w:lvlText w:val=""/>
      <w:lvlJc w:val="left"/>
    </w:lvl>
    <w:lvl w:ilvl="6" w:tplc="429CDF8A">
      <w:numFmt w:val="decimal"/>
      <w:lvlText w:val=""/>
      <w:lvlJc w:val="left"/>
    </w:lvl>
    <w:lvl w:ilvl="7" w:tplc="6D7A4614">
      <w:numFmt w:val="decimal"/>
      <w:lvlText w:val=""/>
      <w:lvlJc w:val="left"/>
    </w:lvl>
    <w:lvl w:ilvl="8" w:tplc="E946C3A2">
      <w:numFmt w:val="decimal"/>
      <w:lvlText w:val=""/>
      <w:lvlJc w:val="left"/>
    </w:lvl>
  </w:abstractNum>
  <w:num w:numId="1" w16cid:durableId="966200850">
    <w:abstractNumId w:val="0"/>
    <w:lvlOverride w:ilvl="0">
      <w:startOverride w:val="1"/>
    </w:lvlOverride>
  </w:num>
  <w:num w:numId="2" w16cid:durableId="948125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FB7"/>
    <w:rsid w:val="005E5FB7"/>
    <w:rsid w:val="00EA5E11"/>
    <w:rsid w:val="00ED50D0"/>
    <w:rsid w:val="00F5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95BE"/>
  <w15:docId w15:val="{825078E5-2A52-400F-AEE7-B1C8070E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1F2E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5A1E9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Kashish</cp:lastModifiedBy>
  <cp:revision>2</cp:revision>
  <dcterms:created xsi:type="dcterms:W3CDTF">2026-06-04T00:05:00Z</dcterms:created>
  <dcterms:modified xsi:type="dcterms:W3CDTF">2026-06-04T00:05:00Z</dcterms:modified>
</cp:coreProperties>
</file>