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EC2F" w14:textId="77777777" w:rsidR="003B2669" w:rsidRDefault="00000000">
      <w:pPr>
        <w:spacing w:after="80"/>
      </w:pPr>
      <w:r>
        <w:rPr>
          <w:b/>
          <w:bCs/>
          <w:color w:val="111827"/>
          <w:sz w:val="40"/>
          <w:szCs w:val="40"/>
        </w:rPr>
        <w:t>Researcher Field Notes</w:t>
      </w:r>
    </w:p>
    <w:p w14:paraId="465E9FA4" w14:textId="77777777" w:rsidR="003B2669" w:rsidRDefault="00000000">
      <w:pPr>
        <w:spacing w:after="60"/>
      </w:pPr>
      <w:r>
        <w:rPr>
          <w:i/>
          <w:iCs/>
          <w:color w:val="006D8F"/>
          <w:sz w:val="24"/>
          <w:szCs w:val="24"/>
        </w:rPr>
        <w:t>VHL — Von Hippel-Lindau Tumour Suppressor: Hypoxia Pathway Targeting</w:t>
      </w:r>
    </w:p>
    <w:p w14:paraId="371F24E1" w14:textId="77777777" w:rsidR="003B2669" w:rsidRDefault="00000000">
      <w:pPr>
        <w:spacing w:after="320"/>
      </w:pPr>
      <w:r>
        <w:rPr>
          <w:color w:val="888888"/>
          <w:sz w:val="20"/>
          <w:szCs w:val="20"/>
        </w:rPr>
        <w:t>Dr. S. Okonkwo  |  Genitourinary &amp; Hereditary Cancer Programme  |  June 2025</w:t>
      </w:r>
    </w:p>
    <w:p w14:paraId="40D69E76" w14:textId="77777777" w:rsidR="003B2669" w:rsidRDefault="00000000">
      <w:pPr>
        <w:pStyle w:val="Heading1"/>
      </w:pPr>
      <w:r>
        <w:t>VHL — Programme Overview</w:t>
      </w:r>
    </w:p>
    <w:p w14:paraId="0489DCBA" w14:textId="77777777" w:rsidR="003B2669" w:rsidRDefault="00000000">
      <w:pPr>
        <w:pStyle w:val="Heading2"/>
      </w:pPr>
      <w:r>
        <w:t>Background &amp; Clinical Significance</w:t>
      </w:r>
    </w:p>
    <w:p w14:paraId="37E58677" w14:textId="77777777" w:rsidR="003B2669" w:rsidRDefault="00000000">
      <w:pPr>
        <w:spacing w:before="80" w:after="120"/>
      </w:pPr>
      <w:r>
        <w:t>The VHL gene encodes a substrate adaptor for the CRL2 E3 ubiquitin ligase complex, which targets hypoxia-inducible factor alpha subunits (HIF-1α and HIF-2α) for degradation under normoxic conditions. Biallelic VHL inactivation — through somatic mutation, loss of heterozygosity, or germline mutation — is the initiating event in ~90% of clear-cell renal cell carcinoma (ccRCC), the most common kidney cancer subtype.</w:t>
      </w:r>
    </w:p>
    <w:p w14:paraId="7B64543A" w14:textId="77777777" w:rsidR="003B2669" w:rsidRDefault="00000000">
      <w:pPr>
        <w:spacing w:before="80" w:after="120"/>
      </w:pPr>
      <w:r>
        <w:t>The central oncogenic consequence of VHL loss is constitutive HIF-2α (and HIF-1α) accumulation, which drives transcription of pro-angiogenic factors (VEGF, PDGF-B), glucose transporters (GLUT1), and erythropoietin. This well-characterised pathway has proven highly tractable for drug development, yielding a progression of anti-VEGF therapies, mTOR inhibitors, and most recently, the first direct HIF-2α inhibitor.</w:t>
      </w:r>
    </w:p>
    <w:p w14:paraId="53001C78" w14:textId="77777777" w:rsidR="003B2669" w:rsidRDefault="00000000">
      <w:pPr>
        <w:pStyle w:val="Heading2"/>
      </w:pPr>
      <w:r>
        <w:t>Belzutifan: First-in-Class HIF-2α Inhibitor</w:t>
      </w:r>
    </w:p>
    <w:p w14:paraId="46511AE9" w14:textId="77777777" w:rsidR="003B2669" w:rsidRDefault="00000000">
      <w:pPr>
        <w:spacing w:before="80" w:after="120"/>
      </w:pPr>
      <w:r>
        <w:t>The FDA approval of belzutifan (Welireg) in August 2021 for VHL disease-associated tumours marked a paradigm shift — for the first time, a targeted therapy directly addresses the causative molecular defect in VHL syndrome rather than its downstream angiogenic consequences. The LITESPARK-004 trial demonstrated objective response rates of 49% for ccRCC, 30% for CNS hemangioblastomas, and 91% for pancreatic neuroendocrine tumours in VHL disease patients.</w:t>
      </w:r>
    </w:p>
    <w:p w14:paraId="30822507" w14:textId="77777777" w:rsidR="003B2669" w:rsidRDefault="00000000">
      <w:pPr>
        <w:pBdr>
          <w:left w:val="single" w:sz="12" w:space="0" w:color="006D8F"/>
        </w:pBdr>
        <w:spacing w:before="120" w:after="120"/>
        <w:ind w:left="360"/>
      </w:pPr>
      <w:r>
        <w:rPr>
          <w:b/>
          <w:bCs/>
          <w:color w:val="006D8F"/>
        </w:rPr>
        <w:t xml:space="preserve">Key Insight  </w:t>
      </w:r>
      <w:r>
        <w:t>Belzutifan's activity in hemangioblastoma (CNS tumours) is particularly notable — prior systemic therapies had virtually no efficacy in this compartment. This data has changed our management approach for VHL syndrome patients with CNS involvement.</w:t>
      </w:r>
    </w:p>
    <w:p w14:paraId="0BD342DB" w14:textId="77777777" w:rsidR="003B2669" w:rsidRDefault="003B2669">
      <w:pPr>
        <w:spacing w:before="80" w:after="120"/>
      </w:pPr>
    </w:p>
    <w:p w14:paraId="42B87FB5" w14:textId="77777777" w:rsidR="003B2669" w:rsidRDefault="00000000">
      <w:pPr>
        <w:spacing w:before="80" w:after="120"/>
      </w:pPr>
      <w:r>
        <w:t>In LITESPARK-005 (sporadic ccRCC, 2nd-line setting vs everolimus), belzutifan demonstrated superior PFS (5.6 vs 5.6 mo, HR 0.75) and OS benefit at 18-month analysis. The PFS result was modest but the favourable safety profile — notably less hypertension than VEGFR TKIs — is clinically meaningful.</w:t>
      </w:r>
    </w:p>
    <w:p w14:paraId="3B082CC7" w14:textId="77777777" w:rsidR="003B2669" w:rsidRDefault="003B2669">
      <w:pPr>
        <w:pBdr>
          <w:bottom w:val="single" w:sz="4" w:space="0" w:color="DDDDDD"/>
        </w:pBdr>
        <w:spacing w:before="160" w:after="160"/>
      </w:pPr>
    </w:p>
    <w:p w14:paraId="43AAA8F5" w14:textId="77777777" w:rsidR="003B2669" w:rsidRDefault="00000000">
      <w:pPr>
        <w:pStyle w:val="Heading1"/>
      </w:pPr>
      <w:r>
        <w:t>Patient Programme Status</w:t>
      </w:r>
    </w:p>
    <w:p w14:paraId="0520909B" w14:textId="77777777" w:rsidR="003B2669" w:rsidRDefault="00000000">
      <w:pPr>
        <w:pStyle w:val="Heading2"/>
      </w:pPr>
      <w:r>
        <w:t>Enrolment Summary (as of June 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600"/>
        <w:gridCol w:w="1960"/>
      </w:tblGrid>
      <w:tr w:rsidR="003B2669" w14:paraId="4D7EE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365E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Cancer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867F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Enrolled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8184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On Therapy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7473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Rate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5544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Programme Status</w:t>
            </w:r>
          </w:p>
        </w:tc>
      </w:tr>
      <w:tr w:rsidR="003B2669" w14:paraId="580AC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1196" w14:textId="77777777" w:rsidR="003B2669" w:rsidRDefault="00000000">
            <w:r>
              <w:rPr>
                <w:sz w:val="20"/>
                <w:szCs w:val="20"/>
              </w:rPr>
              <w:t>ccRCC (sporadic)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6681" w14:textId="77777777" w:rsidR="003B2669" w:rsidRDefault="00000000">
            <w:r>
              <w:rPr>
                <w:sz w:val="20"/>
                <w:szCs w:val="20"/>
              </w:rPr>
              <w:t>312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59D9" w14:textId="77777777" w:rsidR="003B2669" w:rsidRDefault="00000000">
            <w:r>
              <w:rPr>
                <w:sz w:val="20"/>
                <w:szCs w:val="20"/>
              </w:rPr>
              <w:t>246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C4C1" w14:textId="77777777" w:rsidR="003B2669" w:rsidRDefault="00000000">
            <w:r>
              <w:rPr>
                <w:sz w:val="20"/>
                <w:szCs w:val="20"/>
              </w:rPr>
              <w:t>61%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01C0" w14:textId="77777777" w:rsidR="003B2669" w:rsidRDefault="00000000">
            <w:r>
              <w:rPr>
                <w:sz w:val="20"/>
                <w:szCs w:val="20"/>
              </w:rPr>
              <w:t>Active — approved</w:t>
            </w:r>
          </w:p>
        </w:tc>
      </w:tr>
      <w:tr w:rsidR="003B2669" w14:paraId="42B33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F615" w14:textId="77777777" w:rsidR="003B2669" w:rsidRDefault="00000000">
            <w:r>
              <w:rPr>
                <w:sz w:val="20"/>
                <w:szCs w:val="20"/>
              </w:rPr>
              <w:t>ccRCC (VHL syndrome)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5274" w14:textId="77777777" w:rsidR="003B2669" w:rsidRDefault="00000000">
            <w:r>
              <w:rPr>
                <w:sz w:val="20"/>
                <w:szCs w:val="20"/>
              </w:rPr>
              <w:t>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0947" w14:textId="77777777" w:rsidR="003B2669" w:rsidRDefault="00000000">
            <w:r>
              <w:rPr>
                <w:sz w:val="20"/>
                <w:szCs w:val="20"/>
              </w:rPr>
              <w:t>72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BA2A" w14:textId="77777777" w:rsidR="003B2669" w:rsidRDefault="00000000">
            <w:r>
              <w:rPr>
                <w:sz w:val="20"/>
                <w:szCs w:val="20"/>
              </w:rPr>
              <w:t>49%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C124" w14:textId="77777777" w:rsidR="003B2669" w:rsidRDefault="00000000">
            <w:r>
              <w:rPr>
                <w:sz w:val="20"/>
                <w:szCs w:val="20"/>
              </w:rPr>
              <w:t>Active — approved</w:t>
            </w:r>
          </w:p>
        </w:tc>
      </w:tr>
      <w:tr w:rsidR="003B2669" w14:paraId="7CE40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11B9" w14:textId="77777777" w:rsidR="003B2669" w:rsidRDefault="00000000">
            <w:r>
              <w:rPr>
                <w:sz w:val="20"/>
                <w:szCs w:val="20"/>
              </w:rPr>
              <w:lastRenderedPageBreak/>
              <w:t>Hemangioblastoma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A8A" w14:textId="77777777" w:rsidR="003B2669" w:rsidRDefault="00000000">
            <w:r>
              <w:rPr>
                <w:sz w:val="20"/>
                <w:szCs w:val="20"/>
              </w:rPr>
              <w:t>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CC00" w14:textId="77777777" w:rsidR="003B2669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FADC" w14:textId="77777777" w:rsidR="003B2669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A21D" w14:textId="77777777" w:rsidR="003B2669" w:rsidRDefault="00000000">
            <w:r>
              <w:rPr>
                <w:sz w:val="20"/>
                <w:szCs w:val="20"/>
              </w:rPr>
              <w:t>Active — expanded access</w:t>
            </w:r>
          </w:p>
        </w:tc>
      </w:tr>
      <w:tr w:rsidR="003B2669" w14:paraId="2AFAC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FE62" w14:textId="77777777" w:rsidR="003B2669" w:rsidRDefault="00000000">
            <w:r>
              <w:rPr>
                <w:sz w:val="20"/>
                <w:szCs w:val="20"/>
              </w:rPr>
              <w:t>Pancreatic NET (VHL)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E206" w14:textId="77777777" w:rsidR="003B2669" w:rsidRDefault="00000000">
            <w:r>
              <w:rPr>
                <w:sz w:val="20"/>
                <w:szCs w:val="20"/>
              </w:rPr>
              <w:t>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D3A6" w14:textId="77777777" w:rsidR="003B2669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6E7B" w14:textId="77777777" w:rsidR="003B2669" w:rsidRDefault="00000000">
            <w:r>
              <w:rPr>
                <w:sz w:val="20"/>
                <w:szCs w:val="20"/>
              </w:rPr>
              <w:t>91%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4317" w14:textId="77777777" w:rsidR="003B2669" w:rsidRDefault="00000000">
            <w:r>
              <w:rPr>
                <w:sz w:val="20"/>
                <w:szCs w:val="20"/>
              </w:rPr>
              <w:t>Active — approved</w:t>
            </w:r>
          </w:p>
        </w:tc>
      </w:tr>
      <w:tr w:rsidR="003B2669" w14:paraId="6AE17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CD7D" w14:textId="77777777" w:rsidR="003B2669" w:rsidRDefault="00000000">
            <w:r>
              <w:rPr>
                <w:sz w:val="20"/>
                <w:szCs w:val="20"/>
              </w:rPr>
              <w:t>Pheochromocytoma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2076" w14:textId="77777777" w:rsidR="003B2669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FFA4" w14:textId="77777777" w:rsidR="003B266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404C" w14:textId="77777777" w:rsidR="003B2669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780E" w14:textId="77777777" w:rsidR="003B2669" w:rsidRDefault="00000000">
            <w:r>
              <w:rPr>
                <w:sz w:val="20"/>
                <w:szCs w:val="20"/>
              </w:rPr>
              <w:t>Under review</w:t>
            </w:r>
          </w:p>
        </w:tc>
      </w:tr>
    </w:tbl>
    <w:p w14:paraId="67EF2B09" w14:textId="77777777" w:rsidR="003B2669" w:rsidRDefault="003B2669">
      <w:pPr>
        <w:spacing w:before="160"/>
      </w:pPr>
    </w:p>
    <w:p w14:paraId="5D52F852" w14:textId="77777777" w:rsidR="003B2669" w:rsidRDefault="00000000">
      <w:pPr>
        <w:pStyle w:val="Heading2"/>
      </w:pPr>
      <w:r>
        <w:t>Clinical Observations</w:t>
      </w:r>
    </w:p>
    <w:p w14:paraId="530D4BE3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22 patients with pheochromocytoma/paraganglioma (pheo/PGL) — no approved targeted therapy exists; currently unmanaged from a molecular therapy standpoint. Flag as critical evidence gap.</w:t>
      </w:r>
    </w:p>
    <w:p w14:paraId="40252519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14 patients require germline VHL sequencing confirmation — referrals sent to genetic counselling. Results expected by 30 June 2025.</w:t>
      </w:r>
    </w:p>
    <w:p w14:paraId="6C0CFD8E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8 patients on belzutifan have developed anaemia (Grade 2–3) requiring EPO support — mechanism is on-target (HIF-2α suppression reduces EPO transcription). Monitor closely.</w:t>
      </w:r>
    </w:p>
    <w:p w14:paraId="496829BF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Phase II combination study (belzutifan + everolimus) has 8 enrolment slots remaining of 40; target completion by August 2025.</w:t>
      </w:r>
    </w:p>
    <w:p w14:paraId="3C165349" w14:textId="77777777" w:rsidR="003B2669" w:rsidRDefault="003B2669">
      <w:pPr>
        <w:pBdr>
          <w:bottom w:val="single" w:sz="4" w:space="0" w:color="DDDDDD"/>
        </w:pBdr>
        <w:spacing w:before="160" w:after="160"/>
      </w:pPr>
    </w:p>
    <w:p w14:paraId="3F85FBA0" w14:textId="77777777" w:rsidR="003B2669" w:rsidRDefault="00000000">
      <w:pPr>
        <w:pStyle w:val="Heading1"/>
      </w:pPr>
      <w:r>
        <w:t>Decision Log &amp; Open Items</w:t>
      </w:r>
    </w:p>
    <w:p w14:paraId="1212F661" w14:textId="77777777" w:rsidR="003B2669" w:rsidRDefault="00000000">
      <w:pPr>
        <w:pStyle w:val="Heading2"/>
      </w:pPr>
      <w:r>
        <w:t>Recent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200"/>
        <w:gridCol w:w="5480"/>
      </w:tblGrid>
      <w:tr w:rsidR="003B2669" w14:paraId="30E0A53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A520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BE2D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D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A06F" w14:textId="77777777" w:rsidR="003B266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3B2669" w14:paraId="12CE7EB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9948" w14:textId="77777777" w:rsidR="003B2669" w:rsidRDefault="00000000">
            <w:r>
              <w:rPr>
                <w:sz w:val="20"/>
                <w:szCs w:val="20"/>
              </w:rPr>
              <w:t>May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389E" w14:textId="77777777" w:rsidR="003B2669" w:rsidRDefault="00000000">
            <w:r>
              <w:rPr>
                <w:b/>
                <w:bCs/>
                <w:sz w:val="20"/>
                <w:szCs w:val="20"/>
              </w:rPr>
              <w:t>Guideline adoption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00F6" w14:textId="77777777" w:rsidR="003B2669" w:rsidRDefault="00000000">
            <w:r>
              <w:rPr>
                <w:sz w:val="20"/>
                <w:szCs w:val="20"/>
              </w:rPr>
              <w:t>Belzutifan adopted as preferred 1st-line for VHL disease-associated ccRCC per NCCN 2025 — supersedes sunitinib in this population.</w:t>
            </w:r>
          </w:p>
        </w:tc>
      </w:tr>
      <w:tr w:rsidR="003B2669" w14:paraId="58A4DC2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DF71" w14:textId="77777777" w:rsidR="003B2669" w:rsidRDefault="00000000">
            <w:r>
              <w:rPr>
                <w:sz w:val="20"/>
                <w:szCs w:val="20"/>
              </w:rPr>
              <w:t>May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BBEF" w14:textId="77777777" w:rsidR="003B2669" w:rsidRDefault="00000000">
            <w:r>
              <w:rPr>
                <w:b/>
                <w:bCs/>
                <w:sz w:val="20"/>
                <w:szCs w:val="20"/>
              </w:rPr>
              <w:t>Compassionate use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770B" w14:textId="77777777" w:rsidR="003B2669" w:rsidRDefault="00000000">
            <w:r>
              <w:rPr>
                <w:sz w:val="20"/>
                <w:szCs w:val="20"/>
              </w:rPr>
              <w:t>Approved belzutifan compassionate use for 3 VHL syndrome patients with CNS hemangioblastoma causing symptomatic mass effect.</w:t>
            </w:r>
          </w:p>
        </w:tc>
      </w:tr>
      <w:tr w:rsidR="003B2669" w14:paraId="2153509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9BDD" w14:textId="77777777" w:rsidR="003B2669" w:rsidRDefault="00000000">
            <w:r>
              <w:rPr>
                <w:sz w:val="20"/>
                <w:szCs w:val="20"/>
              </w:rPr>
              <w:t>Apr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4E3E" w14:textId="77777777" w:rsidR="003B2669" w:rsidRDefault="00000000">
            <w:r>
              <w:rPr>
                <w:b/>
                <w:bCs/>
                <w:sz w:val="20"/>
                <w:szCs w:val="20"/>
              </w:rPr>
              <w:t>Protocol discontinuation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7C04" w14:textId="77777777" w:rsidR="003B2669" w:rsidRDefault="00000000">
            <w:r>
              <w:rPr>
                <w:sz w:val="20"/>
                <w:szCs w:val="20"/>
              </w:rPr>
              <w:t>Pazopanib monotherapy arm closed — interim analysis showed inferior PFS vs cabozantinib + nivolumab combination.</w:t>
            </w:r>
          </w:p>
        </w:tc>
      </w:tr>
      <w:tr w:rsidR="003B2669" w14:paraId="632A490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627E" w14:textId="77777777" w:rsidR="003B2669" w:rsidRDefault="00000000">
            <w:r>
              <w:rPr>
                <w:sz w:val="20"/>
                <w:szCs w:val="20"/>
              </w:rPr>
              <w:t>Mar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2BE1" w14:textId="77777777" w:rsidR="003B2669" w:rsidRDefault="00000000">
            <w:r>
              <w:rPr>
                <w:b/>
                <w:bCs/>
                <w:sz w:val="20"/>
                <w:szCs w:val="20"/>
              </w:rPr>
              <w:t>Eligibility criteria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21BE" w14:textId="77777777" w:rsidR="003B2669" w:rsidRDefault="00000000">
            <w:r>
              <w:rPr>
                <w:sz w:val="20"/>
                <w:szCs w:val="20"/>
              </w:rPr>
              <w:t>Expanded belzutifan eligibility to include pNET associated with VHL disease following LITESPARK-004 subgroup analysis.</w:t>
            </w:r>
          </w:p>
        </w:tc>
      </w:tr>
      <w:tr w:rsidR="003B2669" w14:paraId="62F4DE8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0EB9" w14:textId="77777777" w:rsidR="003B2669" w:rsidRDefault="00000000">
            <w:r>
              <w:rPr>
                <w:sz w:val="20"/>
                <w:szCs w:val="20"/>
              </w:rPr>
              <w:t>Jan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C658" w14:textId="77777777" w:rsidR="003B2669" w:rsidRDefault="00000000">
            <w:r>
              <w:rPr>
                <w:b/>
                <w:bCs/>
                <w:sz w:val="20"/>
                <w:szCs w:val="20"/>
              </w:rPr>
              <w:t>Evidence gap flagged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F077" w14:textId="77777777" w:rsidR="003B2669" w:rsidRDefault="00000000">
            <w:r>
              <w:rPr>
                <w:sz w:val="20"/>
                <w:szCs w:val="20"/>
              </w:rPr>
              <w:t>Pheo/PGL subgroup identified as having no approved systemic option — escalated to clinical trials committee for study development.</w:t>
            </w:r>
          </w:p>
        </w:tc>
      </w:tr>
    </w:tbl>
    <w:p w14:paraId="670A681D" w14:textId="77777777" w:rsidR="003B2669" w:rsidRDefault="003B2669">
      <w:pPr>
        <w:spacing w:before="200"/>
      </w:pPr>
    </w:p>
    <w:p w14:paraId="154916C6" w14:textId="77777777" w:rsidR="003B2669" w:rsidRDefault="00000000">
      <w:pPr>
        <w:pStyle w:val="Heading2"/>
      </w:pPr>
      <w:r>
        <w:t>Open Items &amp; Evidence Gaps</w:t>
      </w:r>
    </w:p>
    <w:p w14:paraId="2FFB7589" w14:textId="77777777" w:rsidR="003B2669" w:rsidRDefault="00000000">
      <w:pPr>
        <w:pBdr>
          <w:left w:val="single" w:sz="12" w:space="0" w:color="CC4400"/>
        </w:pBdr>
        <w:spacing w:before="120" w:after="120"/>
        <w:ind w:left="360"/>
      </w:pPr>
      <w:r>
        <w:rPr>
          <w:b/>
          <w:bCs/>
          <w:color w:val="CC4400"/>
        </w:rPr>
        <w:t xml:space="preserve">Evidence Gap  </w:t>
      </w:r>
      <w:r>
        <w:t>Pheo/PGL associated with VHL: no approved systemic therapy; 22 patients currently unmanaged. Priority: identify eligible Phase II trial within 60 days.</w:t>
      </w:r>
    </w:p>
    <w:p w14:paraId="5CD8C6CF" w14:textId="77777777" w:rsidR="003B2669" w:rsidRDefault="003B2669">
      <w:pPr>
        <w:spacing w:before="80" w:after="120"/>
      </w:pPr>
    </w:p>
    <w:p w14:paraId="034FDC54" w14:textId="77777777" w:rsidR="003B2669" w:rsidRDefault="00000000">
      <w:pPr>
        <w:pBdr>
          <w:left w:val="single" w:sz="12" w:space="0" w:color="0A2342"/>
        </w:pBdr>
        <w:spacing w:before="120" w:after="120"/>
        <w:ind w:left="360"/>
      </w:pPr>
      <w:r>
        <w:rPr>
          <w:b/>
          <w:bCs/>
          <w:color w:val="0A2342"/>
        </w:rPr>
        <w:t xml:space="preserve">Evidence Gap  </w:t>
      </w:r>
      <w:r>
        <w:t>Long-term HIF-2α inhibitor resistance mechanisms poorly characterised — only anecdotal case reports in literature. Prospective biomarker collection protocol being drafted.</w:t>
      </w:r>
    </w:p>
    <w:p w14:paraId="29C42FED" w14:textId="77777777" w:rsidR="003B2669" w:rsidRDefault="003B2669">
      <w:pPr>
        <w:spacing w:before="80" w:after="120"/>
      </w:pPr>
    </w:p>
    <w:p w14:paraId="666F4D6C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Confirm IDH1/2 co-mutation handling in 7 patients (crossover from IDH programme) — separate protocol discussion needed.</w:t>
      </w:r>
    </w:p>
    <w:p w14:paraId="56FA0D29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Update CRF to capture baseline haemoglobin and EPO levels for all belzutifan patients — anaemia management gap.</w:t>
      </w:r>
    </w:p>
    <w:p w14:paraId="51D7D16F" w14:textId="77777777" w:rsidR="003B2669" w:rsidRDefault="00000000">
      <w:pPr>
        <w:pStyle w:val="ListParagraph"/>
        <w:numPr>
          <w:ilvl w:val="0"/>
          <w:numId w:val="2"/>
        </w:numPr>
        <w:spacing w:before="40" w:after="40"/>
      </w:pPr>
      <w:r>
        <w:t>14 pending germline confirmations — follow up with genetic counselling by 30 June 2025.</w:t>
      </w:r>
    </w:p>
    <w:p w14:paraId="5F8A6C9C" w14:textId="77777777" w:rsidR="003B2669" w:rsidRDefault="003B2669">
      <w:pPr>
        <w:spacing w:before="80" w:after="120"/>
      </w:pPr>
    </w:p>
    <w:p w14:paraId="5C757BFB" w14:textId="77777777" w:rsidR="003B2669" w:rsidRDefault="00000000">
      <w:pPr>
        <w:spacing w:before="80" w:after="120"/>
      </w:pPr>
      <w:r>
        <w:rPr>
          <w:i/>
          <w:iCs/>
          <w:color w:val="888888"/>
        </w:rPr>
        <w:t>Programme review: 15 July 2025. Agenda: Phase II interim analysis, pheo/PGL trial development update, anaemia management SOP.</w:t>
      </w:r>
    </w:p>
    <w:sectPr w:rsidR="003B2669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B39D" w14:textId="77777777" w:rsidR="008B69FE" w:rsidRDefault="008B69FE">
      <w:r>
        <w:separator/>
      </w:r>
    </w:p>
  </w:endnote>
  <w:endnote w:type="continuationSeparator" w:id="0">
    <w:p w14:paraId="6F0054B6" w14:textId="77777777" w:rsidR="008B69FE" w:rsidRDefault="008B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BBD7" w14:textId="77777777" w:rsidR="008B69FE" w:rsidRDefault="008B69FE">
      <w:r>
        <w:separator/>
      </w:r>
    </w:p>
  </w:footnote>
  <w:footnote w:type="continuationSeparator" w:id="0">
    <w:p w14:paraId="4B59F8D3" w14:textId="77777777" w:rsidR="008B69FE" w:rsidRDefault="008B6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BA103" w14:textId="77777777" w:rsidR="003B2669" w:rsidRDefault="00000000">
    <w:pPr>
      <w:pBdr>
        <w:bottom w:val="single" w:sz="4" w:space="0" w:color="006D8F"/>
      </w:pBdr>
      <w:jc w:val="right"/>
    </w:pPr>
    <w:r>
      <w:rPr>
        <w:color w:val="888888"/>
        <w:sz w:val="18"/>
        <w:szCs w:val="18"/>
      </w:rPr>
      <w:t>CONFIDENTIAL — Oncology Intelligence Notes  |  VHL Gene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D34FF"/>
    <w:multiLevelType w:val="hybridMultilevel"/>
    <w:tmpl w:val="A77CDE32"/>
    <w:lvl w:ilvl="0" w:tplc="B76AE6FA">
      <w:start w:val="1"/>
      <w:numFmt w:val="bullet"/>
      <w:lvlText w:val="•"/>
      <w:lvlJc w:val="left"/>
      <w:pPr>
        <w:ind w:left="720" w:hanging="360"/>
      </w:pPr>
    </w:lvl>
    <w:lvl w:ilvl="1" w:tplc="96A26A78">
      <w:numFmt w:val="decimal"/>
      <w:lvlText w:val=""/>
      <w:lvlJc w:val="left"/>
    </w:lvl>
    <w:lvl w:ilvl="2" w:tplc="152E0D56">
      <w:numFmt w:val="decimal"/>
      <w:lvlText w:val=""/>
      <w:lvlJc w:val="left"/>
    </w:lvl>
    <w:lvl w:ilvl="3" w:tplc="1A06B3CE">
      <w:numFmt w:val="decimal"/>
      <w:lvlText w:val=""/>
      <w:lvlJc w:val="left"/>
    </w:lvl>
    <w:lvl w:ilvl="4" w:tplc="997EECC4">
      <w:numFmt w:val="decimal"/>
      <w:lvlText w:val=""/>
      <w:lvlJc w:val="left"/>
    </w:lvl>
    <w:lvl w:ilvl="5" w:tplc="B7523E44">
      <w:numFmt w:val="decimal"/>
      <w:lvlText w:val=""/>
      <w:lvlJc w:val="left"/>
    </w:lvl>
    <w:lvl w:ilvl="6" w:tplc="0D70D618">
      <w:numFmt w:val="decimal"/>
      <w:lvlText w:val=""/>
      <w:lvlJc w:val="left"/>
    </w:lvl>
    <w:lvl w:ilvl="7" w:tplc="058A02D2">
      <w:numFmt w:val="decimal"/>
      <w:lvlText w:val=""/>
      <w:lvlJc w:val="left"/>
    </w:lvl>
    <w:lvl w:ilvl="8" w:tplc="9B3EFE5E">
      <w:numFmt w:val="decimal"/>
      <w:lvlText w:val=""/>
      <w:lvlJc w:val="left"/>
    </w:lvl>
  </w:abstractNum>
  <w:abstractNum w:abstractNumId="1" w15:restartNumberingAfterBreak="0">
    <w:nsid w:val="39594EBE"/>
    <w:multiLevelType w:val="hybridMultilevel"/>
    <w:tmpl w:val="2AAA4306"/>
    <w:lvl w:ilvl="0" w:tplc="A2728A20">
      <w:start w:val="1"/>
      <w:numFmt w:val="bullet"/>
      <w:lvlText w:val="●"/>
      <w:lvlJc w:val="left"/>
      <w:pPr>
        <w:ind w:left="720" w:hanging="360"/>
      </w:pPr>
    </w:lvl>
    <w:lvl w:ilvl="1" w:tplc="5E7AE1AC">
      <w:start w:val="1"/>
      <w:numFmt w:val="bullet"/>
      <w:lvlText w:val="○"/>
      <w:lvlJc w:val="left"/>
      <w:pPr>
        <w:ind w:left="1440" w:hanging="360"/>
      </w:pPr>
    </w:lvl>
    <w:lvl w:ilvl="2" w:tplc="3FDAE410">
      <w:start w:val="1"/>
      <w:numFmt w:val="bullet"/>
      <w:lvlText w:val="■"/>
      <w:lvlJc w:val="left"/>
      <w:pPr>
        <w:ind w:left="2160" w:hanging="360"/>
      </w:pPr>
    </w:lvl>
    <w:lvl w:ilvl="3" w:tplc="F1CA5898">
      <w:start w:val="1"/>
      <w:numFmt w:val="bullet"/>
      <w:lvlText w:val="●"/>
      <w:lvlJc w:val="left"/>
      <w:pPr>
        <w:ind w:left="2880" w:hanging="360"/>
      </w:pPr>
    </w:lvl>
    <w:lvl w:ilvl="4" w:tplc="2E0E506E">
      <w:start w:val="1"/>
      <w:numFmt w:val="bullet"/>
      <w:lvlText w:val="○"/>
      <w:lvlJc w:val="left"/>
      <w:pPr>
        <w:ind w:left="3600" w:hanging="360"/>
      </w:pPr>
    </w:lvl>
    <w:lvl w:ilvl="5" w:tplc="215C256E">
      <w:start w:val="1"/>
      <w:numFmt w:val="bullet"/>
      <w:lvlText w:val="■"/>
      <w:lvlJc w:val="left"/>
      <w:pPr>
        <w:ind w:left="4320" w:hanging="360"/>
      </w:pPr>
    </w:lvl>
    <w:lvl w:ilvl="6" w:tplc="36606FE4">
      <w:start w:val="1"/>
      <w:numFmt w:val="bullet"/>
      <w:lvlText w:val="●"/>
      <w:lvlJc w:val="left"/>
      <w:pPr>
        <w:ind w:left="5040" w:hanging="360"/>
      </w:pPr>
    </w:lvl>
    <w:lvl w:ilvl="7" w:tplc="E77C1260">
      <w:start w:val="1"/>
      <w:numFmt w:val="bullet"/>
      <w:lvlText w:val="●"/>
      <w:lvlJc w:val="left"/>
      <w:pPr>
        <w:ind w:left="5760" w:hanging="360"/>
      </w:pPr>
    </w:lvl>
    <w:lvl w:ilvl="8" w:tplc="451E06D6">
      <w:start w:val="1"/>
      <w:numFmt w:val="bullet"/>
      <w:lvlText w:val="●"/>
      <w:lvlJc w:val="left"/>
      <w:pPr>
        <w:ind w:left="6480" w:hanging="360"/>
      </w:pPr>
    </w:lvl>
  </w:abstractNum>
  <w:num w:numId="1" w16cid:durableId="926187379">
    <w:abstractNumId w:val="1"/>
    <w:lvlOverride w:ilvl="0">
      <w:startOverride w:val="1"/>
    </w:lvlOverride>
  </w:num>
  <w:num w:numId="2" w16cid:durableId="2070225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69"/>
    <w:rsid w:val="003B2669"/>
    <w:rsid w:val="004E56DA"/>
    <w:rsid w:val="008B69FE"/>
    <w:rsid w:val="00EA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A7A9"/>
  <w15:docId w15:val="{825078E5-2A52-400F-AEE7-B1C8070E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11827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6D8F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Kashish</cp:lastModifiedBy>
  <cp:revision>2</cp:revision>
  <dcterms:created xsi:type="dcterms:W3CDTF">2026-06-04T00:05:00Z</dcterms:created>
  <dcterms:modified xsi:type="dcterms:W3CDTF">2026-06-04T00:05:00Z</dcterms:modified>
</cp:coreProperties>
</file>