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color w:val="2E74B5"/>
          <w:sz w:val="18"/>
        </w:rPr>
        <w:t>CONSULTING DOCUMENT</w:t>
      </w:r>
    </w:p>
    <w:p>
      <w:pPr>
        <w:spacing w:before="0" w:after="80" w:line="264" w:lineRule="auto"/>
      </w:pPr>
      <w:r>
        <w:rPr>
          <w:rFonts w:ascii="Calibri" w:hAnsi="Calibri"/>
          <w:b/>
          <w:color w:val="0B2545"/>
          <w:sz w:val="46"/>
        </w:rPr>
        <w:t>Service Brochure</w:t>
      </w:r>
    </w:p>
    <w:p>
      <w:pPr>
        <w:spacing w:before="0" w:after="280" w:line="264" w:lineRule="auto"/>
      </w:pPr>
      <w:r>
        <w:rPr>
          <w:rFonts w:ascii="Calibri" w:hAnsi="Calibri"/>
          <w:color w:val="555555"/>
          <w:sz w:val="22"/>
        </w:rPr>
        <w:t>Procurement Sustainability &amp; ESG Transformation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Service package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Procurement Sustainability &amp; ESG Transformation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Target clients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UAE manufacturing companies; healthcare organizations; infrastructure contractors; industrial businesses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Positioning statement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1"/>
              </w:rPr>
              <w:t>A practical transformation service that embeds sustainability, ESG controls, responsible sourcing, and carbon transparency into procurement decisions, supplier management, and operating governance.</w:t>
            </w:r>
          </w:p>
        </w:tc>
      </w:tr>
    </w:tbl>
    <w:p/>
    <w:p>
      <w:pPr>
        <w:pStyle w:val="Heading1"/>
      </w:pPr>
      <w:r>
        <w:t>Who the Service Is For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380"/>
        <w:gridCol w:w="308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Client segment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Typical priorities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Common trigger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UAE manufacturing companies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Lower material risk, improve supplier compliance, reduce energy and waste exposure.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Customer ESG requirements, export market expectations, cost and resilience pressure.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Healthcare organizations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Responsible clinical and non-clinical procurement, waste-sensitive sourcing, supplier assurance.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Accreditation, patient safety, regulator and board oversight.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Infrastructure contractors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Project procurement controls, subcontractor ESG performance, low-carbon material pathways.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Tender scoring, client ESG clauses, project finance requirements.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Industrial businesses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High-impact category management, contractor controls, carbon and resource efficiency.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Decarbonization commitments, operational risk, supplier concentration.</w:t>
            </w:r>
          </w:p>
        </w:tc>
      </w:tr>
    </w:tbl>
    <w:p/>
    <w:p>
      <w:pPr>
        <w:pStyle w:val="Heading1"/>
      </w:pPr>
      <w:r>
        <w:t>Service Modules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380"/>
        <w:gridCol w:w="318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Module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What we do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Representative outputs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1. ESG Procurement Diagnostic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Assess policies, spend profile, supplier base, contracts, controls, data maturity, and carbon visibility.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Maturity baseline, risk heatmap, priority categories, gap register.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2. Sustainable Sourcing Design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Define category criteria, supplier requirements, tender scoring, governance, and sourcing playbooks.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Policy, sourcing standards, RFP clauses, evaluation scorecards.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3. Supplier ESG Transformation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Segment suppliers, launch supplier engagement, collect ESG/carbon data, and build improvement plans.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Supplier scorecards, engagement packs, corrective action trackers.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4. Carbon and Impact Reporting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Create data templates and reporting cadence for Scope 3 procurement categories and supplier disclosures.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Carbon template, reporting dashboard structure, assurance trail.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5. Implementation Enablement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Train procurement teams, pilot priority categories, embed controls in templates and stage gates.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Training materials, pilot results, adoption roadmap.</w:t>
            </w:r>
          </w:p>
        </w:tc>
      </w:tr>
    </w:tbl>
    <w:p/>
    <w:p>
      <w:pPr>
        <w:pStyle w:val="Heading1"/>
      </w:pPr>
      <w:r>
        <w:t>Client Outcomes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Procurement policy and sourcing practice aligned to sustainability and ESG objectives.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Supplier due diligence that is proportionate, auditable, and usable by procurement teams.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Improved bid evaluation with ESG criteria that can stand up to commercial challenge.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Carbon and ESG data collection that supports management reporting and customer disclosure.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A practical roadmap linking quick wins to longer-term transformation.</w:t>
      </w:r>
    </w:p>
    <w:p>
      <w:pPr>
        <w:pStyle w:val="Heading1"/>
      </w:pPr>
      <w:r>
        <w:t>Engagement Options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1300"/>
        <w:gridCol w:w="2900"/>
        <w:gridCol w:w="30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Option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Duration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Best fit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Indicative deliverables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Rapid ESG Diagnostic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3-4 weeks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Leadership needs baseline and prioritized action plan.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Assessment, heatmap, executive readout.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Policy and Sourcing Toolkit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5-7 weeks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Procurement needs templates and governance quickly.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Policy, checklist, clauses, scorecard.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Transformation Program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10-16 weeks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Multi-site or project-based procurement transformation.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Methodology rollout, supplier engagement, pilot sourcing events, reporting templates.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555555"/>
        <w:sz w:val="17"/>
      </w:rPr>
      <w:t xml:space="preserve">Confidential working template | 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color w:val="555555"/>
        <w:sz w:val="17"/>
      </w:rPr>
      <w:t>Procurement Sustainability &amp; ESG Transformation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01_Service_Brochure_Procurement_Sustainability_ESG_Transformation</dc:title>
  <dc:subject>Procurement Sustainability &amp; ESG Transformation</dc:subject>
  <dc:creator>python-docx</dc:creator>
  <cp:keywords>procurement, sustainability, ESG, UAE, supplier, carbon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