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2E74B5"/>
          <w:sz w:val="18"/>
        </w:rPr>
        <w:t>CONSULTING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B2545"/>
          <w:sz w:val="46"/>
        </w:rPr>
        <w:t>Consulting Methodology</w:t>
      </w:r>
    </w:p>
    <w:p>
      <w:pPr>
        <w:spacing w:before="0" w:after="280" w:line="264" w:lineRule="auto"/>
      </w:pPr>
      <w:r>
        <w:rPr>
          <w:rFonts w:ascii="Calibri" w:hAnsi="Calibri"/>
          <w:color w:val="555555"/>
          <w:sz w:val="22"/>
        </w:rPr>
        <w:t>A structured approach from baseline assessment to embedded procurement ESG capability.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Service package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Procurement Sustainability &amp; ESG Transformation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Target clients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UAE manufacturing companies; healthcare organizations; infrastructure contractors; industrial businesses</w:t>
            </w:r>
          </w:p>
        </w:tc>
      </w:tr>
    </w:tbl>
    <w:p/>
    <w:p>
      <w:pPr>
        <w:pStyle w:val="Heading1"/>
      </w:pPr>
      <w:r>
        <w:t>Methodology Overview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methodology is designed for operational procurement environments where ESG ambition must translate into sourcing decisions, supplier obligations, project controls, and measurable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180"/>
        <w:gridCol w:w="3980"/>
        <w:gridCol w:w="200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Phase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Key activities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Decision gate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1. Mobilize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Confirm objectives, governance, stakeholders, categories, and data access.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Kickoff, document request, stakeholder map, workplan.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Scope and success measures confirmed.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2. Diagnose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Establish current-state procurement ESG maturity and risk exposure.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Policy review, spend and supplier segmentation, interviews, contract sample review.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Baseline accepted.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3. Design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Create practical operating model, tools, and criteria.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Sourcing criteria, scorecard, policy, tender clauses, reporting template.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Toolkit approved for pilot.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4. Pilot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Test tools on priority categories or projects.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engagement, data collection, bid evaluation, corrective actions.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Pilot lessons and refinements agreed.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5. Embed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Institutionalize governance, cadence, ownership, and KPIs.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Training, playbook handover, dashboard design, roadmap.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Steady-state ownership transferred.</w:t>
            </w:r>
          </w:p>
        </w:tc>
      </w:tr>
    </w:tbl>
    <w:p/>
    <w:p>
      <w:pPr>
        <w:pStyle w:val="Heading1"/>
      </w:pPr>
      <w:r>
        <w:t>Workstreams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460"/>
        <w:gridCol w:w="300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Workstream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Scope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Typical evidence reviewed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Governance and policy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Decision rights, approvals, sustainability obligations, procurement roles.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Policies, delegation of authority, committee packs.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Category and spend risk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ESG risk by category, geography, criticality, and supplier dependency.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Spend extracts, supplier master, category plans.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due diligence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questionnaires, audit history, certifications, corrective action process.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files, onboarding records, audit reports.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Sourcing and contracting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RFP criteria, evaluation weighting, contract ESG clauses, lifecycle controls.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Tender packs, bid evaluations, contract templates.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Data and reporting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ESG data capture, carbon reporting, evidence retention, management reporting.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Dashboards, spreadsheets, ERP fields, reporting packs.</w:t>
            </w:r>
          </w:p>
        </w:tc>
      </w:tr>
    </w:tbl>
    <w:p/>
    <w:p>
      <w:pPr>
        <w:pStyle w:val="Heading1"/>
      </w:pPr>
      <w:r>
        <w:t>Governance Rhythm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1"/>
        </w:rPr>
        <w:t>Weekly project working session to resolve data, stakeholder, and design issues.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1"/>
        </w:rPr>
        <w:t>Fortnightly steering checkpoint to approve scope decisions and remove blockers.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1"/>
        </w:rPr>
        <w:t>Pilot review session to validate usability with procurement, sustainability, finance, legal, and operations.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1"/>
        </w:rPr>
        <w:t>Final handover covering tools, ownership, KPIs, and the 90-day implementation plan.</w:t>
      </w:r>
    </w:p>
    <w:p>
      <w:pPr>
        <w:pStyle w:val="Heading1"/>
      </w:pPr>
      <w:r>
        <w:t>Quality Principles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Commercially practical: ESG requirements are tied to category risk and supplier leverage.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Evidence-based: recommendations are linked to reviewed documents, interviews, spend data, and supplier samples.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Auditable: templates create a clear trail from requirement to evaluation to supplier action.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Proportionate: high-risk categories receive deeper due diligence; low-risk purchases remain efficient.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55555"/>
        <w:sz w:val="17"/>
      </w:rPr>
      <w:t xml:space="preserve">Confidential working template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55555"/>
        <w:sz w:val="17"/>
      </w:rPr>
      <w:t>Procurement Sustainability &amp; ESG Transformation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02_Consulting_Methodology</dc:title>
  <dc:subject>Procurement Sustainability &amp; ESG Transformation</dc:subject>
  <dc:creator>python-docx</dc:creator>
  <cp:keywords>procurement, sustainability, ESG, UAE, supplier, carbon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