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color w:val="2E74B5"/>
          <w:sz w:val="18"/>
        </w:rPr>
        <w:t>CONSULTING DOCUMENT</w:t>
      </w:r>
    </w:p>
    <w:p>
      <w:pPr>
        <w:spacing w:before="0" w:after="80" w:line="264" w:lineRule="auto"/>
      </w:pPr>
      <w:r>
        <w:rPr>
          <w:rFonts w:ascii="Calibri" w:hAnsi="Calibri"/>
          <w:b/>
          <w:color w:val="0B2545"/>
          <w:sz w:val="46"/>
        </w:rPr>
        <w:t>Client Proposal Template</w:t>
      </w:r>
    </w:p>
    <w:p>
      <w:pPr>
        <w:spacing w:before="0" w:after="280" w:line="264" w:lineRule="auto"/>
      </w:pPr>
      <w:r>
        <w:rPr>
          <w:rFonts w:ascii="Calibri" w:hAnsi="Calibri"/>
          <w:color w:val="555555"/>
          <w:sz w:val="22"/>
        </w:rPr>
        <w:t>Template for proposing a Procurement Sustainability &amp; ESG Transformation engagement.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Service package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Procurement Sustainability &amp; ESG Transformation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Target clients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UAE manufacturing companies; healthcare organizations; infrastructure contractors; industrial businesses</w:t>
            </w:r>
          </w:p>
        </w:tc>
      </w:tr>
    </w:tbl>
    <w:p/>
    <w:p>
      <w:pPr>
        <w:pStyle w:val="Heading1"/>
      </w:pPr>
      <w:r>
        <w:t>Proposal Metadata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Input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Client organization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[Client legal name]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Prepared for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[Sponsor / procurement leader / ESG leader]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Prepared by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[Consulting firm / project lead]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Proposal date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[DD Month YYYY]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Validity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[e.g., 30 days from proposal date]</w:t>
            </w:r>
          </w:p>
        </w:tc>
      </w:tr>
    </w:tbl>
    <w:p/>
    <w:p>
      <w:pPr>
        <w:pStyle w:val="Heading1"/>
      </w:pPr>
      <w:r>
        <w:t>Executive Summary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[Summarize the client situation, why procurement ESG transformation matters now, and the proposed engagement outcome in 2-3 concise paragraphs.]</w:t>
      </w:r>
    </w:p>
    <w:p>
      <w:pPr>
        <w:pStyle w:val="Heading1"/>
      </w:pPr>
      <w:r>
        <w:t>Understanding of Client Needs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[Need 1: e.g., strengthen supplier ESG due diligence for critical categories.]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[Need 2: e.g., create sustainable sourcing policy and tender scoring criteria.]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[Need 3: e.g., improve supplier carbon data collection and reporting readiness.]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[Need 4: e.g., support customer, regulator, lender, or board expectations.]</w:t>
      </w:r>
    </w:p>
    <w:p>
      <w:pPr>
        <w:pStyle w:val="Heading1"/>
      </w:pPr>
      <w:r>
        <w:t>Proposed Scope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300"/>
        <w:gridCol w:w="29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Work package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In scope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Out of scope / assumptions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Mobilization and diagnostic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[Stakeholder interviews, document review, spend and supplier segmentation.]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[Data provided by client; no audit assurance unless separately agreed.]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Policy and toolkit design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[Policy, checklist, sourcing criteria, scorecard, carbon template.]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[Legal review of contract clauses by client counsel.]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Pilot and enablement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[Pilot on selected categories; training and roadmap.]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[System configuration beyond advisory support.]</w:t>
            </w:r>
          </w:p>
        </w:tc>
      </w:tr>
    </w:tbl>
    <w:p/>
    <w:p>
      <w:pPr>
        <w:pStyle w:val="Heading1"/>
      </w:pPr>
      <w:r>
        <w:t>Deliverables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2100"/>
        <w:gridCol w:w="4460"/>
      </w:tblGrid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Deliverable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Format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Acceptance criteria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Current-state assessment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Report / workshop deck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Findings agreed with project sponsor and key stakeholders.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Procurement ESG toolkit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DOCX / XLSX templates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Templates are complete, usable, and tailored to client categories.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Supplier engagement pack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Template communications and scorecards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Approved for pilot supplier rollout.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Implementation roadmap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Roadmap and governance plan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Owners, milestones, and KPIs identified.</w:t>
            </w:r>
          </w:p>
        </w:tc>
      </w:tr>
    </w:tbl>
    <w:p/>
    <w:p>
      <w:pPr>
        <w:pStyle w:val="Heading1"/>
      </w:pPr>
      <w:r>
        <w:t>Project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5060"/>
        <w:gridCol w:w="340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Week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Primary activities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Client participation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Kickoff, data request, stakeholder scheduling.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Sponsor kickoff; nominate workstream owners.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2-3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Diagnostic interviews, document and data review.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Provide procurement and supplier records.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4-5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Design toolkit and review draft recommendations.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Review workshops with procurement, ESG, legal, operations.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6-8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Pilot selected categories and refine tools.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Run pilot evaluations; provide supplier feedback.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Final readout, roadmap, handover.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Approve roadmap and ownership model.</w:t>
            </w:r>
          </w:p>
        </w:tc>
      </w:tr>
    </w:tbl>
    <w:p/>
    <w:p>
      <w:pPr>
        <w:pStyle w:val="Heading1"/>
      </w:pPr>
      <w:r>
        <w:t>Commercial and Contracting Notes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Fees, expenses, taxes, and payment milestones are set out in the Fee Proposal Template.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Client remains responsible for final legal approval of contractual ESG clauses.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Any audit, certification, or assurance opinion is excluded unless expressly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555555"/>
        <w:sz w:val="17"/>
      </w:rPr>
      <w:t xml:space="preserve">Confidential working template | 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color w:val="555555"/>
        <w:sz w:val="17"/>
      </w:rPr>
      <w:t>Procurement Sustainability &amp; ESG Transformation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03_Client_Proposal_Template</dc:title>
  <dc:subject>Procurement Sustainability &amp; ESG Transformation</dc:subject>
  <dc:creator>python-docx</dc:creator>
  <cp:keywords>procurement, sustainability, ESG, UAE, supplier, carbon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