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color w:val="2E74B5"/>
          <w:sz w:val="18"/>
        </w:rPr>
        <w:t>CONSULTING DOCUMENT</w:t>
      </w:r>
    </w:p>
    <w:p>
      <w:pPr>
        <w:spacing w:before="0" w:after="80" w:line="264" w:lineRule="auto"/>
      </w:pPr>
      <w:r>
        <w:rPr>
          <w:rFonts w:ascii="Calibri" w:hAnsi="Calibri"/>
          <w:b/>
          <w:color w:val="0B2545"/>
          <w:sz w:val="46"/>
        </w:rPr>
        <w:t>Fee Proposal Template</w:t>
      </w:r>
    </w:p>
    <w:p>
      <w:pPr>
        <w:spacing w:before="0" w:after="280" w:line="264" w:lineRule="auto"/>
      </w:pPr>
      <w:r>
        <w:rPr>
          <w:rFonts w:ascii="Calibri" w:hAnsi="Calibri"/>
          <w:color w:val="555555"/>
          <w:sz w:val="22"/>
        </w:rPr>
        <w:t>Commercial template for pricing Procurement Sustainability &amp; ESG Transformation services.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Service package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Procurement Sustainability &amp; ESG Transformation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Target clients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UAE manufacturing companies; healthcare organizations; infrastructure contractors; industrial businesses</w:t>
            </w:r>
          </w:p>
        </w:tc>
      </w:tr>
    </w:tbl>
    <w:p/>
    <w:p>
      <w:pPr>
        <w:pStyle w:val="Heading1"/>
      </w:pPr>
      <w:r>
        <w:t>Fee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2200"/>
        <w:gridCol w:w="2100"/>
        <w:gridCol w:w="27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Fee component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Basis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Amount / range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Notes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Professional fees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[Fixed fee / time and materials]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[AED ___]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Based on agreed scope, sites, categories, and supplier sample.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Expenses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[At cost / capped / included]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[AED ___]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Travel, workshops, printing, and other direct costs if applicable.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Taxes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[VAT treatment]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[AED ___]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Apply UAE VAT or other tax treatment as advised.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[AED ___]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Valid for [__] days from proposal date.</w:t>
            </w:r>
          </w:p>
        </w:tc>
      </w:tr>
    </w:tbl>
    <w:p/>
    <w:p>
      <w:pPr>
        <w:pStyle w:val="Heading1"/>
      </w:pPr>
      <w:r>
        <w:t>Pricing Options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660"/>
        <w:gridCol w:w="1400"/>
        <w:gridCol w:w="150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Option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Scope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Duration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Fee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Option A: Rapid Diagnostic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Current-state review, ESG procurement maturity score, heatmap, executive readout.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3-4 weeks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AED [__]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Option B: Toolkit Build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Diagnostic plus policy, assessment checklist, scorecard, sourcing clauses, carbon template.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5-7 weeks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AED [__]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Option C: Transformation Program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Toolkit build plus pilot sourcing events, supplier engagement, training, roadmap.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10-16 weeks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AED [__]</w:t>
            </w:r>
          </w:p>
        </w:tc>
      </w:tr>
    </w:tbl>
    <w:p/>
    <w:p>
      <w:pPr>
        <w:pStyle w:val="Heading1"/>
      </w:pPr>
      <w:r>
        <w:t>Role Rate Card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960"/>
        <w:gridCol w:w="1700"/>
        <w:gridCol w:w="180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Role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Illustrative responsibility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Day rate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Estimated days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Partner / Director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Executive sponsor, steering committee, quality review.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AED [__]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[__]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Procurement ESG Lead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Methodology, stakeholder workshops, toolkit design.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AED [__]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[__]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Category / Supplier Specialist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Category analysis, supplier engagement, scorecard calibration.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AED [__]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[__]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Carbon / Data Analyst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Carbon reporting template, data QA, dashboard structure.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AED [__]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[__]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Project Manager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Plan, RAID log, meeting cadence, deliverable coordination.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AED [__]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[__]</w:t>
            </w:r>
          </w:p>
        </w:tc>
      </w:tr>
    </w:tbl>
    <w:p/>
    <w:p>
      <w:pPr>
        <w:pStyle w:val="Heading1"/>
      </w:pPr>
      <w:r>
        <w:t>Payment Milestones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960"/>
        <w:gridCol w:w="1500"/>
        <w:gridCol w:w="180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Milestone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Trigger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Invoice 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Amount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Mobilization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Contract signature and kickoff.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30%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AED [__]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Diagnostic completion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Baseline assessment delivered.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30%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AED [__]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Toolkit / pilot completion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Draft toolkit and pilot outputs delivered.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25%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AED [__]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Final handover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Final documents and roadmap delivered.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15%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AED [__]</w:t>
            </w:r>
          </w:p>
        </w:tc>
      </w:tr>
    </w:tbl>
    <w:p/>
    <w:p>
      <w:pPr>
        <w:pStyle w:val="Heading1"/>
      </w:pPr>
      <w:r>
        <w:t>Commercial Assumptions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Fees assume timely access to client data, stakeholders, policies, contract samples, and supplier information.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Scope covers advisory deliverables only unless implementation support, system configuration, or assurance services are separately priced.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Material changes in number of sites, categories, suppliers, or workshops may require a change request.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555555"/>
        <w:sz w:val="17"/>
      </w:rPr>
      <w:t xml:space="preserve">Confidential working template |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color w:val="555555"/>
        <w:sz w:val="17"/>
      </w:rPr>
      <w:t>Procurement Sustainability &amp; ESG Transformation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04_Fee_Proposal_Template</dc:title>
  <dc:subject>Procurement Sustainability &amp; ESG Transformation</dc:subject>
  <dc:creator>python-docx</dc:creator>
  <cp:keywords>procurement, sustainability, ESG, UAE, supplier, carbon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