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2E74B5"/>
          <w:sz w:val="18"/>
        </w:rPr>
        <w:t>CONSULTING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6"/>
        </w:rPr>
        <w:t>Sustainable Sourcing Policy</w:t>
      </w:r>
    </w:p>
    <w:p>
      <w:pPr>
        <w:spacing w:before="0" w:after="280" w:line="264" w:lineRule="auto"/>
      </w:pPr>
      <w:r>
        <w:rPr>
          <w:rFonts w:ascii="Calibri" w:hAnsi="Calibri"/>
          <w:color w:val="555555"/>
          <w:sz w:val="22"/>
        </w:rPr>
        <w:t>Policy template for embedding sustainability and ESG requirements into procurement.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Service package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Procurement Sustainability &amp; ESG Transformation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Target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UAE manufacturing companies; healthcare organizations; infrastructure contractors; industrial businesses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This policy defines how the organization integrates sustainability, ESG risk management, responsible sourcing, and carbon transparency into procurement decisions and supplier relationships.</w:t>
      </w:r>
    </w:p>
    <w:p>
      <w:pPr>
        <w:pStyle w:val="Heading1"/>
      </w:pPr>
      <w:r>
        <w:t>2. Scope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The policy applies to procurement of goods, services, works, subcontracted activities, clinical and non-clinical supplies, capital projects, facilities, logistics, and industrial services. It applies to employees, contractors, and suppliers involved in sourcing or supplier management.</w:t>
      </w:r>
    </w:p>
    <w:p>
      <w:pPr>
        <w:pStyle w:val="Heading1"/>
      </w:pPr>
      <w:r>
        <w:t>3. Policy Principles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Value for money includes lifecycle cost, quality, resilience, ESG risk, safety, compliance, and carbon impact.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Procurement requirements are proportionate to category risk and supplier influence.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Suppliers must comply with applicable laws and the organization's supplier code of conduct.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High-risk suppliers must provide evidence and participate in corrective action where required.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Procurement decisions must be documented so that ESG criteria can be audited.</w:t>
      </w:r>
    </w:p>
    <w:p>
      <w:pPr>
        <w:pStyle w:val="Heading1"/>
      </w:pPr>
      <w:r>
        <w:t>4. Minimum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5260"/>
        <w:gridCol w:w="200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Requirement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Policy standard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Category ESG risk screen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All material sourcing events must identify relevant environmental, social, governance, safety, and carbon risks.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Category owner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due diligence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Critical or high-risk suppliers must complete ESG evaluation before award or renewal.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Procurement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Tender criteria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RFPs must include ESG questions and weighting appropriate to category risk.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Sourcing lead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Contract clauses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Contracts must include ESG compliance, reporting, audit, and corrective action rights where relevant.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Legal / procurement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performance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Strategic suppliers must be reviewed against ESG KPIs at least annually.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relationship owner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Reporting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Procurement ESG KPIs and material exceptions must be reported to management.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Procurement leadership</w:t>
            </w:r>
          </w:p>
        </w:tc>
      </w:tr>
    </w:tbl>
    <w:p/>
    <w:p>
      <w:pPr>
        <w:pStyle w:val="Heading1"/>
      </w:pPr>
      <w:r>
        <w:t>5. Supplier Expectations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Comply with labor, worker welfare, anti-bribery, health, safety, environmental, and data integrity requirements.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Disclose material ESG incidents, regulatory breaches, and corrective actions promptly.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Provide carbon, energy, waste, transport, materials, or product data where requested.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sz w:val="21"/>
        </w:rPr>
        <w:t>Cascade equivalent requirements to subcontractors and critical upstream suppliers where relevant.</w:t>
      </w:r>
    </w:p>
    <w:p>
      <w:pPr>
        <w:pStyle w:val="Heading1"/>
      </w:pPr>
      <w:r>
        <w:t>6. Exceptions and Non-Compliance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Exceptions require documented approval by the procurement authority and the relevant ESG, legal, safety, or operational owner. Serious supplier non-compliance may result in corrective action, award restriction, suspension, or termination.</w:t>
      </w:r>
    </w:p>
    <w:p>
      <w:pPr>
        <w:pStyle w:val="Heading1"/>
      </w:pPr>
      <w:r>
        <w:t>7. Review Cycle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This policy should be reviewed at least annually or when major regulatory, customer, project, or organizational requirements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7"/>
      </w:rPr>
      <w:t xml:space="preserve">Confidential working template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55555"/>
        <w:sz w:val="17"/>
      </w:rPr>
      <w:t>Procurement Sustainability &amp; ESG Transformation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06_Sustainable_Sourcing_Policy</dc:title>
  <dc:subject>Procurement Sustainability &amp; ESG Transformation</dc:subject>
  <dc:creator>python-docx</dc:creator>
  <cp:keywords>procurement, sustainability, ESG, UAE, supplier, carbon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