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Contract Management Toolkit</w:t>
      </w:r>
    </w:p>
    <w:p>
      <w:pPr>
        <w:spacing w:after="280"/>
      </w:pPr>
      <w:r>
        <w:rPr>
          <w:color w:val="5C6873"/>
          <w:sz w:val="22"/>
        </w:rPr>
        <w:t>Operating guide, checklists, clause playbooks, and tracker instructions for a growing commercial team.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 xml:space="preserve">Use case: </w:t>
            </w:r>
            <w:r>
              <w:t>This toolkit is designed for a small or mid-sized organization that needs a dependable contract process without buying a full CLM platform first.</w:t>
            </w:r>
          </w:p>
        </w:tc>
      </w:tr>
    </w:tbl>
    <w:p/>
    <w:p>
      <w:pPr>
        <w:pStyle w:val="Heading1"/>
      </w:pPr>
      <w:r>
        <w:t>1. Toolkit Map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Component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Purpose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Primary owner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Intake form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Capture request context before drafting starts.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requester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register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Maintain a single source of truth for obligations, dates, value, and ownership.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operations or contract manager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checklist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consistent review quality across commercial, legal, finance, and security checks.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lead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Clause playbook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Speed up negotiation decisions and escalation.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counsel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Obligation tracker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Convert signed terms into practical action owners and due dates.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owner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Renewal calendar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Prevent surprise auto-renewals, expiries, and price increases.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manager</w:t>
            </w:r>
          </w:p>
        </w:tc>
      </w:tr>
    </w:tbl>
    <w:p/>
    <w:p>
      <w:pPr>
        <w:pStyle w:val="Heading1"/>
      </w:pPr>
      <w:r>
        <w:t>2. Standard Lifecycle</w:t>
      </w:r>
    </w:p>
    <w:p>
      <w:pPr>
        <w:pStyle w:val="ListNumber"/>
        <w:spacing w:after="80"/>
        <w:ind w:left="540" w:hanging="271"/>
      </w:pPr>
      <w:r>
        <w:t>Intake: confirm contract type, counterparty, value, business rationale, timing, and approval path.</w:t>
      </w:r>
    </w:p>
    <w:p>
      <w:pPr>
        <w:pStyle w:val="ListNumber"/>
        <w:spacing w:after="80"/>
        <w:ind w:left="540" w:hanging="271"/>
      </w:pPr>
      <w:r>
        <w:t>Triage: assign risk level and route to the correct review lane.</w:t>
      </w:r>
    </w:p>
    <w:p>
      <w:pPr>
        <w:pStyle w:val="ListNumber"/>
        <w:spacing w:after="80"/>
        <w:ind w:left="540" w:hanging="271"/>
      </w:pPr>
      <w:r>
        <w:t>Draft or review: use approved templates and mark non-standard terms.</w:t>
      </w:r>
    </w:p>
    <w:p>
      <w:pPr>
        <w:pStyle w:val="ListNumber"/>
        <w:spacing w:after="80"/>
        <w:ind w:left="540" w:hanging="271"/>
      </w:pPr>
      <w:r>
        <w:t>Negotiate: track positions, fallback language, and open issues.</w:t>
      </w:r>
    </w:p>
    <w:p>
      <w:pPr>
        <w:pStyle w:val="ListNumber"/>
        <w:spacing w:after="80"/>
        <w:ind w:left="540" w:hanging="271"/>
      </w:pPr>
      <w:r>
        <w:t>Approve and sign: verify authority, finance approval, data/security clearance, and final version control.</w:t>
      </w:r>
    </w:p>
    <w:p>
      <w:pPr>
        <w:pStyle w:val="ListNumber"/>
        <w:spacing w:after="80"/>
        <w:ind w:left="540" w:hanging="271"/>
      </w:pPr>
      <w:r>
        <w:t>Store and activate: add signed document data to the register and obligations tracker.</w:t>
      </w:r>
    </w:p>
    <w:p>
      <w:pPr>
        <w:pStyle w:val="ListNumber"/>
        <w:spacing w:after="80"/>
        <w:ind w:left="540" w:hanging="271"/>
      </w:pPr>
      <w:r>
        <w:t>Monitor: review renewals, milestones, notices, and obligations monthly.</w:t>
      </w:r>
    </w:p>
    <w:p>
      <w:pPr>
        <w:pStyle w:val="Heading1"/>
      </w:pPr>
      <w:r>
        <w:t>3. Intake Template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Guidance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Request 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Short name that will remain recognizable after signature.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NDA, MSA, SOW, order form, amendment, DPA, vendor agreement, partnership, other.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Counterparty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entity name, country, and primary contact.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Person accountable for commercial decision-making and post-signature performance.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Estimated value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Total contract value and annual recurring or annual spend if relevant.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signature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Real business deadline, not an aspirational review date.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involved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Personal data, confidential data, regulated data, security access, or no sensitive data.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Non-standard terms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Known deviations from template, customer paper, unusual payment, liability, exclusivity, or termination requests.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Approvals needed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Finance, security, privacy, procurement, executive, board, or other.</w:t>
            </w:r>
          </w:p>
        </w:tc>
      </w:tr>
    </w:tbl>
    <w:p/>
    <w:p>
      <w:pPr>
        <w:pStyle w:val="Heading1"/>
      </w:pPr>
      <w:r>
        <w:t>4. Review Checklist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Review area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Checks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Commercial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Scope is clear; price and payment terms match approval; dependencies are documented; renewal and termination economics are understood.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Parties are correct; obligations are enforceable; liability, indemnity, warranties, IP, confidentiality, assignment, and governing law are acceptable.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Privacy and security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categories, subprocessors, security controls, breach notice, audit rights, and cross-border transfer terms are appropriate.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Billing cadence, tax, expenses, credits, late fees, revenue recognition or spend classification are confirmed.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Operational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Implementation milestones, SLAs, acceptance criteria, notice addresses, reporting, and internal owners are assigned.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Signature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version is clean; exhibits are attached; authority is confirmed; signature block matches legal entity.</w:t>
            </w:r>
          </w:p>
        </w:tc>
      </w:tr>
    </w:tbl>
    <w:p/>
    <w:p>
      <w:pPr>
        <w:pStyle w:val="Heading1"/>
      </w:pPr>
      <w:r>
        <w:t>5. Risk Triage Rules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300"/>
        <w:gridCol w:w="5200"/>
        <w:gridCol w:w="2860"/>
      </w:tblGrid>
      <w:t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Risk level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Typical triggers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Expected handling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Company template, low value, no sensitive data, standard liability, short term.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and contract manager review; legal spot-check if needed.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Counterparty paper, moderate value, minor data processing, material SLA or implementation obligations.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review plus business owner approval.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 value, regulated or sensitive data, uncapped liability, exclusivity, unusual IP, critical vendor, litigation risk.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lead review with finance, security, privacy, and executive approval as needed.</w:t>
            </w:r>
          </w:p>
        </w:tc>
      </w:tr>
    </w:tbl>
    <w:p/>
    <w:p>
      <w:pPr>
        <w:pStyle w:val="Heading1"/>
      </w:pPr>
      <w:r>
        <w:t>6. Clause Playbook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Clause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Preferred position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Fallback / escalation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Liability cap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 at fees paid or payable in the prior 12 months.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uncapped liability, super-caps above 2x fees, or broad carveouts.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Indemnity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Limit to third-party IP infringement, confidentiality breach, data breach caused by the indemnifying party, and willful misconduct.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open-ended business losses or first-party claims.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Payment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Net 30 from valid invoice; disputed amounts may be withheld in good faith.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payment beyond net 60, broad setoff, or acceptance tied to subjective satisfaction.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Termination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Mutual termination for material breach after cure; convenience termination only where economics are protected.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no termination right, long cure periods for critical breach, or customer-only convenience rights.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Auto-renewal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Renewal requires advance written notice or clear opt-out window in the register.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renewal notice windows shorter than 30 days or price increases without notice.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IP ownership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Each party keeps pre-existing IP; deliverables ownership and licenses match the deal model.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work-made-for-hire, broad assignment, or restrictions on standard tools and know-how.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protection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Processing terms match data map and applicable law; breach notice is practical.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audit rights without limits, unsupported transfer terms, or breach notice shorter than operational capability.</w:t>
            </w:r>
          </w:p>
        </w:tc>
      </w:tr>
    </w:tbl>
    <w:p/>
    <w:p>
      <w:pPr>
        <w:pStyle w:val="Heading1"/>
      </w:pPr>
      <w:r>
        <w:t>7. Obligation Extraction</w:t>
      </w:r>
    </w:p>
    <w:p>
      <w:pPr>
        <w:pStyle w:val="ListBullet"/>
        <w:spacing w:after="80"/>
        <w:ind w:left="540" w:hanging="271"/>
      </w:pPr>
      <w:r>
        <w:t>Extract every commitment with a practical owner: payment, reports, notices, service credits, renewals, certificates, insurance, audits, implementation dates, and confidentiality exceptions.</w:t>
      </w:r>
    </w:p>
    <w:p>
      <w:pPr>
        <w:pStyle w:val="ListBullet"/>
        <w:spacing w:after="80"/>
        <w:ind w:left="540" w:hanging="271"/>
      </w:pPr>
      <w:r>
        <w:t>Record the exact clause reference and convert legal wording into an operational task.</w:t>
      </w:r>
    </w:p>
    <w:p>
      <w:pPr>
        <w:pStyle w:val="ListBullet"/>
        <w:spacing w:after="80"/>
        <w:ind w:left="540" w:hanging="271"/>
      </w:pPr>
      <w:r>
        <w:t>Use recurring reminders for renewal notice dates and periodic obligations.</w:t>
      </w:r>
    </w:p>
    <w:p>
      <w:pPr>
        <w:pStyle w:val="ListBullet"/>
        <w:spacing w:after="80"/>
        <w:ind w:left="540" w:hanging="271"/>
      </w:pPr>
      <w:r>
        <w:t>Review open obligations monthly with business owners and quarterly with legal or finance.</w:t>
      </w:r>
    </w:p>
    <w:p>
      <w:pPr>
        <w:pStyle w:val="Heading1"/>
      </w:pPr>
      <w:r>
        <w:t>8. Monthly Governance Cadence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200"/>
        <w:gridCol w:w="5200"/>
        <w:gridCol w:w="2960"/>
      </w:tblGrid>
      <w:t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Week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Activity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Output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 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renewal and expiry windows for the next 120 days.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Renewal action list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 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 high-risk contracts for missing owners, values, and signed copies.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cleanup queue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 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 open obligations and overdue milestones.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Owner follow-up list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 4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negotiation cycle time, bottlenecks, and escalations.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Process improvement notes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 xml:space="preserve">Change control note: </w:t>
            </w:r>
            <w:r>
              <w:t>For contracts falling under Dubai Law No. 5 of 2026, any variation or delegation of work to a subcontractor must be verified against the Etimad platform and approved by the client entity to avoid systemic breach.</w:t>
            </w:r>
          </w:p>
        </w:tc>
      </w:tr>
    </w:tbl>
    <w:p/>
    <w:p>
      <w:pPr>
        <w:pStyle w:val="Heading1"/>
      </w:pPr>
      <w:r>
        <w:t>9. Implementation Notes</w:t>
      </w:r>
    </w:p>
    <w:p>
      <w:pPr>
        <w:pStyle w:val="ListBullet"/>
        <w:spacing w:after="80"/>
        <w:ind w:left="540" w:hanging="271"/>
      </w:pPr>
      <w:r>
        <w:t>Start with the contract register and renewal calendar before adding more complex workflows.</w:t>
      </w:r>
    </w:p>
    <w:p>
      <w:pPr>
        <w:pStyle w:val="ListBullet"/>
        <w:spacing w:after="80"/>
        <w:ind w:left="540" w:hanging="271"/>
      </w:pPr>
      <w:r>
        <w:t>Make one person accountable for data quality; shared ownership usually means no ownership.</w:t>
      </w:r>
    </w:p>
    <w:p>
      <w:pPr>
        <w:pStyle w:val="ListBullet"/>
        <w:spacing w:after="80"/>
        <w:ind w:left="540" w:hanging="271"/>
      </w:pPr>
      <w:r>
        <w:t>Require a signed copy, business owner, renewal date, contract value, and risk level before a contract can be marked active.</w:t>
      </w:r>
    </w:p>
    <w:p>
      <w:pPr>
        <w:pStyle w:val="ListBullet"/>
        <w:spacing w:after="80"/>
        <w:ind w:left="540" w:hanging="271"/>
      </w:pPr>
      <w:r>
        <w:t>Retain contract records for 7 years minimum to fulfill UAE Federal Tax Authority (FTA) and commercial law requirements.</w:t>
      </w:r>
    </w:p>
    <w:p>
      <w:pPr>
        <w:pStyle w:val="ListBullet"/>
        <w:spacing w:after="80"/>
        <w:ind w:left="540" w:hanging="271"/>
      </w:pPr>
      <w:r>
        <w:t>Any cumulative contract variation exceeding 10% of the original contract value must trigger a formal DoA re-approval and a written Addendum, rather than a simple PO amendment.</w:t>
      </w:r>
    </w:p>
    <w:p>
      <w:pPr>
        <w:pStyle w:val="ListBullet"/>
        <w:spacing w:after="80"/>
        <w:ind w:left="540" w:hanging="271"/>
      </w:pPr>
      <w:r>
        <w:t>Review the clause playbook every quarter based on actual negotiation escalations.</w:t>
      </w:r>
    </w:p>
    <w:p>
      <w:pPr>
        <w:pStyle w:val="Heading1"/>
      </w:pPr>
      <w:r>
        <w:t>10. Contract Management Procedure</w:t>
      </w:r>
    </w:p>
    <w:p>
      <w:pPr>
        <w:pStyle w:val="ListNumber"/>
        <w:spacing w:after="80"/>
        <w:ind w:left="540" w:hanging="271"/>
      </w:pPr>
      <w:r>
        <w:t>Open a contract request in the intake queue with business owner, counterparty, value, timing, contract type, data profile, and required approvals.</w:t>
      </w:r>
    </w:p>
    <w:p>
      <w:pPr>
        <w:pStyle w:val="ListNumber"/>
        <w:spacing w:after="80"/>
        <w:ind w:left="540" w:hanging="271"/>
      </w:pPr>
      <w:r>
        <w:t>Assign a risk tier using the contract risk matrix and confirm whether legal, finance, privacy, security, procurement, or executive review is required.</w:t>
      </w:r>
    </w:p>
    <w:p>
      <w:pPr>
        <w:pStyle w:val="ListNumber"/>
        <w:spacing w:after="80"/>
        <w:ind w:left="540" w:hanging="271"/>
      </w:pPr>
      <w:r>
        <w:t>Use approved templates wherever possible; mark customer paper, third-party templates, non-standard terms, and missing schedules before review begins.</w:t>
      </w:r>
    </w:p>
    <w:p>
      <w:pPr>
        <w:pStyle w:val="ListNumber"/>
        <w:spacing w:after="80"/>
        <w:ind w:left="540" w:hanging="271"/>
      </w:pPr>
      <w:r>
        <w:t>Track negotiation issues in the clause playbook format: preferred position, fallback, escalation trigger, owner, and decision date.</w:t>
      </w:r>
    </w:p>
    <w:p>
      <w:pPr>
        <w:pStyle w:val="ListNumber"/>
        <w:spacing w:after="80"/>
        <w:ind w:left="540" w:hanging="271"/>
      </w:pPr>
      <w:r>
        <w:t>Before signature, confirm final version control, authority under the delegation of authority, required approvals, exhibits, addenda, and signature block accuracy.</w:t>
      </w:r>
    </w:p>
    <w:p>
      <w:pPr>
        <w:pStyle w:val="ListNumber"/>
        <w:spacing w:after="80"/>
        <w:ind w:left="540" w:hanging="271"/>
      </w:pPr>
      <w:r>
        <w:t>After signature, store the executed copy, update the register, extract obligations, schedule renewal notices, and assign operational owners.</w:t>
      </w:r>
    </w:p>
    <w:p>
      <w:pPr>
        <w:pStyle w:val="ListNumber"/>
        <w:spacing w:after="80"/>
        <w:ind w:left="540" w:hanging="271"/>
      </w:pPr>
      <w:r>
        <w:t>Monitor obligations, renewals, variations, audits, and KPIs through the monthly governance cadence.</w:t>
      </w:r>
    </w:p>
    <w:p>
      <w:pPr>
        <w:pStyle w:val="Heading1"/>
      </w:pPr>
      <w:r>
        <w:t>11. Contract Risk Matrix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Risk factor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Low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Medium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High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value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 value or no monetary commitment.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Moderate value within normal budget authority.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 value, strategic spend, or revenue impact.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and systems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personal, confidential, or system access data.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Limited personal or confidential data.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Sensitive, regulated, cross-border, or privileged system access.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Liability exposure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Standard capped liability and balanced remedies.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Negotiated cap or limited carveouts.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Uncapped liability, broad indemnities, penalties, or liquidated damages.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Operational criticality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Non-critical, easy replacement, low dependency.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 support or delivery dependency.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Mission-critical vendor, customer commitment, SLA, or business continuity impact.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Template position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Company template with minimal changes.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Counterparty paper or moderate deviations.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Heavily negotiated terms, unusual jurisdiction, or high-risk commercial model.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 xml:space="preserve">Risk rating rule: </w:t>
            </w:r>
            <w:r>
              <w:t>Rate the contract at the highest individual risk factor. A single high-risk factor is enough to route the contract through the high-risk review path.</w:t>
            </w:r>
          </w:p>
        </w:tc>
      </w:tr>
    </w:tbl>
    <w:p/>
    <w:p>
      <w:pPr>
        <w:pStyle w:val="Heading1"/>
      </w:pPr>
      <w:r>
        <w:t>12. Contract Audit Checklist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Audit area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Evidence to check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Pass criteria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Register completeness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ID, counterparty, owner, value, term, renewal, status, risk level.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Mandatory fields are complete and current.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Executed copy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Signed PDF or original electronic signature envelope.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signed version is stored and linked.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 trail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DoA approval, finance approval, privacy/security sign-off, exception approvals.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Approvals match value, risk, and deviation profile.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control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Addenda, variations, PO amendments, delegation or subcontracting approvals.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Changes are documented, approved, and linked to the original contract.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Obligations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Clause references, owner, due date, frequency, status, evidence.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Operational obligations are assigned and monitored.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Retention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Archive location and retention date.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Records are retained for 7 years minimum to fulfill UAE Federal Tax Authority (FTA) and commercial law requirements.</w:t>
            </w:r>
          </w:p>
        </w:tc>
      </w:tr>
    </w:tbl>
    <w:p/>
    <w:p>
      <w:pPr>
        <w:pStyle w:val="Heading1"/>
      </w:pPr>
      <w:r>
        <w:t>13. Contract Governance Framework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Governance layer</w:t>
            </w:r>
          </w:p>
        </w:tc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Decision rights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Cadence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Business owner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Commercial need, scope, operational acceptance, budget ownership.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 request and monthly obligation follow-up.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 manager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Register quality, renewal alerts, workflow routing, records, audit coordination.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Weekly queue review and monthly governance pack.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Template control, negotiation positions, deviations, high-risk terms, addenda.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 needed for reviews; quarterly playbook refresh.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Finance / procurement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Value, budget, payment terms, PO alignment, DoA compliance.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 approval threshold and monthly exceptions review.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Privacy / security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processing, system access, security controls, breach and audit terms.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 data-bearing contract and quarterly high-risk review.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Executive sponsor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Strategic contracts, high-risk exceptions, disputes, material variations.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Exception-based and quarterly governance review.</w:t>
            </w:r>
          </w:p>
        </w:tc>
      </w:tr>
    </w:tbl>
    <w:p/>
    <w:p>
      <w:pPr>
        <w:pStyle w:val="Heading1"/>
      </w:pPr>
      <w:r>
        <w:t>14. Contract KPI Framework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4800"/>
        <w:gridCol w:w="23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KPI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Definition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3A5F"/>
              </w:rPr>
              <w:t>Target / signal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Cycle time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Days from intake submission to signature.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Track median and high-risk outliers monthly.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First-pass completeness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Percentage of intake requests accepted without missing mandatory fields.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90% or higher after process stabilization.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Renewal notice compliance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Percentage of renewal decisions made before notice deadline.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100% for auto-renewal contracts.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Obligation overdue rate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 obligations past due divided by total open obligations.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Escalate when above 5%.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High-risk exception rate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High-risk contracts with approved deviations divided by total high-risk contracts.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Review trend and recurring clause drivers quarterly.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 readiness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Contracts with complete executed copy, approvals, owner, value, term, and retention data.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95% completeness.</w:t>
            </w:r>
          </w:p>
        </w:tc>
      </w:tr>
    </w:tbl>
    <w:p/>
    <w:p>
      <w:pPr>
        <w:pStyle w:val="Heading1"/>
      </w:pPr>
      <w:r>
        <w:t>15. Contract Change Management Procedure</w:t>
      </w:r>
    </w:p>
    <w:p>
      <w:pPr>
        <w:pStyle w:val="ListNumber"/>
        <w:spacing w:after="80"/>
        <w:ind w:left="540" w:hanging="271"/>
      </w:pPr>
      <w:r>
        <w:t>Log every proposed contract change as a variation request with contract ID, original value, cumulative variation value, business reason, owner, and required date.</w:t>
      </w:r>
    </w:p>
    <w:p>
      <w:pPr>
        <w:pStyle w:val="ListNumber"/>
        <w:spacing w:after="80"/>
        <w:ind w:left="540" w:hanging="271"/>
      </w:pPr>
      <w:r>
        <w:t>Assess whether the change affects scope, value, term, liability, data processing, subcontracting, assignment, service levels, payment, or termination rights.</w:t>
      </w:r>
    </w:p>
    <w:p>
      <w:pPr>
        <w:pStyle w:val="ListNumber"/>
        <w:spacing w:after="80"/>
        <w:ind w:left="540" w:hanging="271"/>
      </w:pPr>
      <w:r>
        <w:t>If cumulative contract variation exceeds 10% of the original contract value, require formal DoA re-approval and a written Addendum rather than a simple PO amendment.</w:t>
      </w:r>
    </w:p>
    <w:p>
      <w:pPr>
        <w:pStyle w:val="ListNumber"/>
        <w:spacing w:after="80"/>
        <w:ind w:left="540" w:hanging="271"/>
      </w:pPr>
      <w:r>
        <w:t>For contracts falling under Dubai Law No. 5 of 2026, verify any variation or delegation of work to a subcontractor against the Etimad platform and obtain client entity approval before execution.</w:t>
      </w:r>
    </w:p>
    <w:p>
      <w:pPr>
        <w:pStyle w:val="ListNumber"/>
        <w:spacing w:after="80"/>
        <w:ind w:left="540" w:hanging="271"/>
      </w:pPr>
      <w:r>
        <w:t>Attach the approved addendum, Etimad/client approvals where applicable, updated PO, and internal approval record to the contract file.</w:t>
      </w:r>
    </w:p>
    <w:p>
      <w:pPr>
        <w:pStyle w:val="ListNumber"/>
        <w:spacing w:after="80"/>
        <w:ind w:left="540" w:hanging="271"/>
      </w:pPr>
      <w:r>
        <w:t>Update the contract register, obligation tracker, renewal calendar, risk rating, and audit trail after the change is signed.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873"/>
        <w:sz w:val="18"/>
      </w:rPr>
      <w:t>Contract Management Toolkit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