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74B5"/>
          <w:sz w:val="20"/>
        </w:rPr>
        <w:t>ADVISORY TOOLKIT</w:t>
      </w:r>
    </w:p>
    <w:p>
      <w:pPr>
        <w:spacing w:after="80"/>
      </w:pPr>
      <w:r>
        <w:rPr>
          <w:rFonts w:ascii="Calibri" w:hAnsi="Calibri"/>
          <w:b/>
          <w:color w:val="0B2545"/>
          <w:sz w:val="48"/>
        </w:rPr>
        <w:t>UAE Climate Law Overview Guide</w:t>
      </w:r>
    </w:p>
    <w:p>
      <w:pPr>
        <w:spacing w:after="280"/>
      </w:pPr>
      <w:r>
        <w:rPr>
          <w:rFonts w:ascii="Calibri" w:hAnsi="Calibri"/>
          <w:color w:val="595959"/>
          <w:sz w:val="26"/>
        </w:rPr>
        <w:t>Practical compliance briefing for UAE private sector companies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Details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Prepared by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SCP Business Advisory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Audience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UAE private sector companies, including SMEs and owner-managed businesses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Client advisory, internal assessment, implementation planning and evidence collection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Version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June 2026</w:t>
            </w:r>
          </w:p>
        </w:tc>
      </w:tr>
    </w:tbl>
    <w:p/>
    <w:p>
      <w:pPr>
        <w:pBdr>
          <w:bottom w:val="single" w:sz="8" w:space="4" w:color="2E74B5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Consultant note: </w:t>
            </w:r>
            <w:r>
              <w:rPr>
                <w:rFonts w:ascii="Calibri" w:hAnsi="Calibri"/>
                <w:sz w:val="22"/>
              </w:rPr>
              <w:t>This document is a practical advisory aid. It should be tailored to the client entity, emirate-level permits, sector regulations, contracts and any implementing decisions issued under UAE climate legislation.</w:t>
            </w:r>
          </w:p>
        </w:tc>
      </w:tr>
    </w:tbl>
    <w:p/>
    <w:p>
      <w:pPr>
        <w:pStyle w:val="Heading1"/>
      </w:pPr>
      <w:r>
        <w:t>Executive Summary</w:t>
      </w:r>
    </w:p>
    <w:p>
      <w:pPr>
        <w:spacing w:after="120"/>
      </w:pPr>
      <w:r>
        <w:rPr>
          <w:rFonts w:ascii="Calibri" w:hAnsi="Calibri"/>
          <w:sz w:val="22"/>
        </w:rPr>
        <w:t>UAE private sector companies should treat climate compliance as an operating discipline: understand applicable obligations, measure emissions, assign internal ownership, keep evidence, and show progress through a practical roadmap.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3E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SME takeaway: </w:t>
            </w:r>
            <w:r>
              <w:rPr>
                <w:rFonts w:ascii="Calibri" w:hAnsi="Calibri"/>
                <w:sz w:val="22"/>
              </w:rPr>
              <w:t>Start with Scope 1 and Scope 2 emissions, energy and fuel data, climate risks to operations, and a board-approved plan. Expand to supplier and customer data where material or contractually required.</w:t>
            </w:r>
          </w:p>
        </w:tc>
      </w:tr>
    </w:tbl>
    <w:p/>
    <w:p>
      <w:pPr>
        <w:pStyle w:val="Heading1"/>
      </w:pPr>
      <w:r>
        <w:t>Legal Reference Point</w:t>
      </w:r>
    </w:p>
    <w:p>
      <w:pPr>
        <w:spacing w:after="120"/>
      </w:pPr>
      <w:r>
        <w:rPr>
          <w:rFonts w:ascii="Calibri" w:hAnsi="Calibri"/>
          <w:sz w:val="22"/>
        </w:rPr>
        <w:t>The UAE Climate Law framework, commonly referenced in advisory work as Federal Decree-Law No. 11 of 2024 on reducing the effects of climate change, should be read together with implementing regulations, competent-authority decisions and emirate-level environmental requirements. For SMEs, the practical compliance response is to build a defensible management system before a request for information arrives.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CE8E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Active enforcement position: </w:t>
            </w:r>
            <w:r>
              <w:rPr>
                <w:rFonts w:ascii="Calibri" w:hAnsi="Calibri"/>
                <w:sz w:val="22"/>
              </w:rPr>
              <w:t>The statutory grace period for Federal Decree-Law No. 11 of 2024 officially expired on May 30, 2026. Unregistered or non-compliant sources of emissions now face active inspections, audit data requests, and administrative fines ranging from AED 50,000 to AED 2,000,000.</w:t>
            </w:r>
          </w:p>
        </w:tc>
      </w:tr>
    </w:tbl>
    <w:p/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Do not wait for a customer, bank or authority to request emissions data before collecting utility and fuel evidence.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Do not publish net zero, carbon neutral or climate positive claims unless the underlying inventory, boundary, offsets and assumptions are documented.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Do update the compliance register when new Cabinet, ministerial, emirate or free-zone decisions are issued.</w:t>
      </w:r>
    </w:p>
    <w:p>
      <w:pPr>
        <w:pStyle w:val="Heading1"/>
      </w:pPr>
      <w:r>
        <w:t>UAE Climate Law Compliance Themes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Theme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Private sector expectation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Practical evidence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Climate governance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Assign accountable management, integrate climate into policy and risk processes, maintain compliance records.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Board/owner approval, ESG lead, meeting minutes.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GHG monitoring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Collect activity data for fuel, electricity, refrigerants, transport and relevant processes.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Monthly data log, invoices, meter readings, calculation file.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Mitigation planning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Identify reasonable actions to reduce energy use, emissions and climate impact.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Reduction targets, energy efficiency plan, capex register.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Adaptation and resilience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Assess heat, flooding, water scarcity, supply disruption and business continuity risks.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Risk assessment, BCP updates, insurance review.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Regulatory cooperation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Be ready to provide accurate information to MOCCAE, local authorities, emirate regulators or Free Zone Authorities where required.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Data owner list, evidence folder, sign-off workflow.</w:t>
            </w:r>
          </w:p>
        </w:tc>
      </w:tr>
    </w:tbl>
    <w:p/>
    <w:p>
      <w:pPr>
        <w:pStyle w:val="Heading1"/>
      </w:pPr>
      <w:r>
        <w:t>What Companies Should Do Now</w:t>
      </w:r>
    </w:p>
    <w:p>
      <w:pPr>
        <w:pStyle w:val="ListNumber"/>
        <w:spacing w:after="80"/>
        <w:ind w:left="720" w:hanging="360"/>
      </w:pPr>
      <w:r>
        <w:rPr>
          <w:rFonts w:ascii="Calibri" w:hAnsi="Calibri"/>
          <w:sz w:val="22"/>
        </w:rPr>
        <w:t>Map the business activities, locations, permits and sectors that may be affected by climate or environmental requirements.</w:t>
      </w:r>
    </w:p>
    <w:p>
      <w:pPr>
        <w:pStyle w:val="ListNumber"/>
        <w:spacing w:after="80"/>
        <w:ind w:left="720" w:hanging="360"/>
      </w:pPr>
      <w:r>
        <w:rPr>
          <w:rFonts w:ascii="Calibri" w:hAnsi="Calibri"/>
          <w:sz w:val="22"/>
        </w:rPr>
        <w:t>Create a baseline GHG inventory using available invoices and operational data.</w:t>
      </w:r>
    </w:p>
    <w:p>
      <w:pPr>
        <w:pStyle w:val="ListNumber"/>
        <w:spacing w:after="80"/>
        <w:ind w:left="720" w:hanging="360"/>
      </w:pPr>
      <w:r>
        <w:rPr>
          <w:rFonts w:ascii="Calibri" w:hAnsi="Calibri"/>
          <w:sz w:val="22"/>
        </w:rPr>
        <w:t>Assess climate-related physical and transition risks, including heat exposure, water use, logistics and customer requirements.</w:t>
      </w:r>
    </w:p>
    <w:p>
      <w:pPr>
        <w:pStyle w:val="ListNumber"/>
        <w:spacing w:after="80"/>
        <w:ind w:left="720" w:hanging="360"/>
      </w:pPr>
      <w:r>
        <w:rPr>
          <w:rFonts w:ascii="Calibri" w:hAnsi="Calibri"/>
          <w:sz w:val="22"/>
        </w:rPr>
        <w:t>Approve a short climate compliance policy and nominate an internal owner.</w:t>
      </w:r>
    </w:p>
    <w:p>
      <w:pPr>
        <w:pStyle w:val="ListNumber"/>
        <w:spacing w:after="80"/>
        <w:ind w:left="720" w:hanging="360"/>
      </w:pPr>
      <w:r>
        <w:rPr>
          <w:rFonts w:ascii="Calibri" w:hAnsi="Calibri"/>
          <w:sz w:val="22"/>
        </w:rPr>
        <w:t>Build a twelve-month action plan with quick wins, responsibilities, evidence and management review dates.</w:t>
      </w:r>
    </w:p>
    <w:p>
      <w:pPr>
        <w:pStyle w:val="Heading1"/>
      </w:pPr>
      <w:r>
        <w:t>Example Applicability Matrix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900"/>
        <w:gridCol w:w="32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Company type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Likely focus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Minimum advisory response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Trading / services SME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Electricity, fleet fuel, refrigerants, supplier expectations.</w:t>
            </w:r>
          </w:p>
        </w:tc>
        <w:tc>
          <w:tcPr>
            <w:tcW w:type="dxa" w:w="32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Basic inventory, policy, customer questionnaire response pack.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Manufacturing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Energy, process emissions, waste, chemicals, permits, product footprint.</w:t>
            </w:r>
          </w:p>
        </w:tc>
        <w:tc>
          <w:tcPr>
            <w:tcW w:type="dxa" w:w="32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More detailed meters, emissions factors, abatement projects.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Hospitality / real estate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Building energy, water, cooling, waste, tenant and guest impacts.</w:t>
            </w:r>
          </w:p>
        </w:tc>
        <w:tc>
          <w:tcPr>
            <w:tcW w:type="dxa" w:w="32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Asset-level utility data and climate resilience plan.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Logistics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Owned fleet fuel, route efficiency, subcontracted 3PL transport, downstream delivery data and warehousing.</w:t>
            </w:r>
          </w:p>
        </w:tc>
        <w:tc>
          <w:tcPr>
            <w:tcW w:type="dxa" w:w="32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Fleet register, fuel cards, 3PL questionnaire, route and load efficiency initiatives.</w:t>
            </w:r>
          </w:p>
        </w:tc>
      </w:tr>
    </w:tbl>
    <w:p/>
    <w:p>
      <w:pPr>
        <w:pStyle w:val="Heading1"/>
      </w:pPr>
      <w:r>
        <w:t>Subcontracted Transport Questionnaire for Logistics SMEs</w:t>
      </w:r>
    </w:p>
    <w:p>
      <w:pPr>
        <w:spacing w:after="120"/>
      </w:pPr>
      <w:r>
        <w:rPr>
          <w:rFonts w:ascii="Calibri" w:hAnsi="Calibri"/>
          <w:sz w:val="22"/>
        </w:rPr>
        <w:t>Where a company relies on third-party logistics providers, the emissions boundary and Scope 3 assessment should capture relevant downstream or outsourced transport activity. Use the questionnaire below for each material 3PL provider or delivery subcontractor.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000"/>
        <w:gridCol w:w="24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Question area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Information requested from 3PL provider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Response / evidence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Provider details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Legal name, UAE licence, operating emirate/free zone and contact person.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Transport activity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Shipment count, routes, vehicle type, tonnage, distance, delivery frequency and refrigerated transport use.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Fuel and energy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Diesel, petrol, CNG, electric charging or other fuel consumed for the client account, if available.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Allocation basis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How the provider allocates emissions: by distance, weight, spend, dedicated vehicle, shipment count or another method.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Evidence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Fuel summary, telematics export, invoices, route reports, emissions statement or assurance letter.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Reduction actions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Route optimisation, load consolidation, EV trials, driver training, idle reduction and subcontractor policy.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1"/>
      </w:pPr>
      <w:r>
        <w:t>Client Tailoring and Evidence Pack</w:t>
      </w:r>
    </w:p>
    <w:p>
      <w:pPr>
        <w:spacing w:after="120"/>
      </w:pPr>
      <w:r>
        <w:rPr>
          <w:rFonts w:ascii="Calibri" w:hAnsi="Calibri"/>
          <w:sz w:val="22"/>
        </w:rPr>
        <w:t>Before issuing this document to a client, replace bracketed fields, confirm the client legal entity name, emirate, licence activity, facilities, sector permits and reporting period. For multi-site clients, prepare one consolidated version plus site-level evidence where the data is materially different.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Authority roles: </w:t>
            </w:r>
            <w:r>
              <w:rPr>
                <w:rFonts w:ascii="Calibri" w:hAnsi="Calibri"/>
                <w:sz w:val="22"/>
              </w:rPr>
              <w:t>MOCCAE sets federal climate and environmental policy direction, guidance and national frameworks. Local authorities and regulators, such as Dubai Municipality, Environment Agency - Abu Dhabi (EAD), relevant emirate environmental bodies and Free Zone Authorities including Umm Al Quwain Free Zone or JAFZA, typically administer local environmental permits, inspections, facility-level compliance and sector-specific requirements.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360"/>
        <w:gridCol w:w="180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Tailoring area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What to confirm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Suggested owner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Company profile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Trade licence, activity list, site list, ownership and operating boundary.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/ Legal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Compliance context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Applicable UAE federal law, MOCCAE guidance, emirate permits, local inspection requirements, customer requirements, free-zone rules and tender clauses.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Consultant / Compliance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Evidence folder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Utility bills, fuel records, waste tickets, HR records, policies, minutes, photos and calculations.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ESG Lead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Approval record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Management sign-off, version control, review date and action owners.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Managing Director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Evidence standard: </w:t>
            </w:r>
            <w:r>
              <w:rPr>
                <w:rFonts w:ascii="Calibri" w:hAnsi="Calibri"/>
                <w:sz w:val="22"/>
              </w:rPr>
              <w:t>For every claim, score, action or risk rating, keep a source file or management note. This reduces greenwashing risk and makes the toolkit useful for customer due diligence, tenders, bank requests and regulatory enquiries.</w:t>
            </w:r>
          </w:p>
        </w:tc>
      </w:tr>
    </w:tbl>
    <w:p/>
    <w:p>
      <w:pPr>
        <w:pStyle w:val="Heading1"/>
      </w:pPr>
      <w:r>
        <w:t>Reference Sources for Tailoring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Legislation platform, Environment and Natural Resources category, including legislation on safeguarding the environment and reducing the negative effects of climate change.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Ministry of Climate Change and Environment mandate, including climate policy, strategies and initiatives supporting the UAE Net Zero 2050 Strategy.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Net Zero by 2050 Strategic Initiative and UAE Nationally Determined Contribution direction for emissions reduction.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GHG Protocol Corporate Standard and Scope 2 Guidance for organisational greenhouse gas accounting.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ISSB IFRS S1 and IFRS S2, GRI Standards and local market ESG reporting guidance where applicable to listed entities or customer requirements.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7"/>
      </w:rPr>
      <w:t>UAE Climate Law Overview Guide | Client-ready working template |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95959"/>
        <w:sz w:val="18"/>
      </w:rPr>
      <w:t>SCP Business Advisory | UAE Climate &amp; ESG Advisory Toolkit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