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ESG Readiness Assessment Questionnaire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Client interview form and scoring guide for SMEs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How to Use This Questionnaire</w:t>
      </w:r>
    </w:p>
    <w:p>
      <w:pPr>
        <w:spacing w:after="120"/>
      </w:pPr>
      <w:r>
        <w:rPr>
          <w:rFonts w:ascii="Calibri" w:hAnsi="Calibri"/>
          <w:sz w:val="22"/>
        </w:rPr>
        <w:t>Score each question from 0 to 3: 0 = not started, 1 = informal, 2 = partially documented, 3 = implemented with evidence. Add comments and evidence links during the client interview.</w:t>
      </w:r>
    </w:p>
    <w:p>
      <w:pPr>
        <w:pStyle w:val="Heading2"/>
      </w:pPr>
      <w:r>
        <w:t>Governance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1200"/>
        <w:gridCol w:w="1900"/>
        <w:gridCol w:w="2060"/>
      </w:tblGrid>
      <w:tr>
        <w:trPr>
          <w:tblHeader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Question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Score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Comments</w:t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Board or owner has approved ESG responsibilities.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named person owns ESG and climate compliance.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matters are reviewed at least quarterly.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Policies cover ethics, environment, labour and health and safety.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Climate and GHG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1200"/>
        <w:gridCol w:w="1900"/>
        <w:gridCol w:w="2060"/>
      </w:tblGrid>
      <w:tr>
        <w:trPr>
          <w:tblHeader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Question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Score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Comments</w:t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company knows its main emission sources.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Electricity and fuel data are collected monthly.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Refrigerants and fleet data are tracked.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reduction plan exists for energy and emissions.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Social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1200"/>
        <w:gridCol w:w="1900"/>
        <w:gridCol w:w="2060"/>
      </w:tblGrid>
      <w:tr>
        <w:trPr>
          <w:tblHeader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Question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Score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Comments</w:t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Employee contracts, wages and working hours are controlled.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Health and safety incidents are tracked.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Training records are maintained.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Supplier labour and welfare risks are considered.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Governance and ethics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1200"/>
        <w:gridCol w:w="1900"/>
        <w:gridCol w:w="2060"/>
      </w:tblGrid>
      <w:tr>
        <w:trPr>
          <w:tblHeader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Question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Score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Comments</w:t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Anti-bribery and conflict policies are communicated.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Whistleblowing or grievance routes exist.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 privacy and cyber risks are managed.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keeps audit-ready evidence.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0  1  2  3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1"/>
      </w:pPr>
      <w:r>
        <w:t>Scoring Interpretation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55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Score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Readiness level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Recommended next step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0-25%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Foundational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Create basic policy, data register and owner responsibilities.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26-55%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Developing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Close evidence gaps and build a realistic 12-month action plan.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56-80%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Managed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Formalise governance, targets, risk register and reporting cycle.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81-100%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Advanced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Prepare external disclosure and assurance readiness.</w:t>
            </w:r>
          </w:p>
        </w:tc>
      </w:tr>
    </w:tbl>
    <w:p/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ESG Readiness Assessment Questionnaire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