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ESG Gap Analysis Template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Structured gap register and corrective action tracker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Gap Analysis Instructions</w:t>
      </w:r>
    </w:p>
    <w:p>
      <w:pPr>
        <w:spacing w:after="120"/>
      </w:pPr>
      <w:r>
        <w:rPr>
          <w:rFonts w:ascii="Calibri" w:hAnsi="Calibri"/>
          <w:sz w:val="22"/>
        </w:rPr>
        <w:t>Use this template after the readiness assessment. The consultant should record the current state, desired state, evidence reviewed, priority, corrective action and responsible owner.</w:t>
      </w:r>
    </w:p>
    <w:tbl>
      <w:tblPr>
        <w:tblStyle w:val="TableGrid"/>
        <w:tblW w:type="dxa" w:w="10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50"/>
        <w:gridCol w:w="1850"/>
        <w:gridCol w:w="900"/>
        <w:gridCol w:w="2150"/>
        <w:gridCol w:w="1100"/>
        <w:gridCol w:w="10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Current state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Target state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Priority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1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Due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Climate governance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formal ESG owner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Named owner and quarterly review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Appoint ESG owner and approve terms of reference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GM / Owner</w:t>
            </w:r>
          </w:p>
        </w:tc>
        <w:tc>
          <w:tcPr>
            <w:tcW w:type="dxa" w:w="1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 days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GHG data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Invoices available but not consolidated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Monthly Scope 1 and 2 data file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emissions data log and evidence folder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 / Ops</w:t>
            </w:r>
          </w:p>
        </w:tc>
        <w:tc>
          <w:tcPr>
            <w:tcW w:type="dxa" w:w="1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60 days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 management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Climate risks not in risk register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Climate risks rated and reviewed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 heat, water, flood and customer transition risks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 owner</w:t>
            </w:r>
          </w:p>
        </w:tc>
        <w:tc>
          <w:tcPr>
            <w:tcW w:type="dxa" w:w="10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45 days</w:t>
            </w:r>
          </w:p>
        </w:tc>
      </w:tr>
    </w:tbl>
    <w:p/>
    <w:p>
      <w:pPr>
        <w:pStyle w:val="Heading1"/>
      </w:pPr>
      <w:r>
        <w:t>Gap Rating Guide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High: regulatory exposure, customer tender requirement, material cost or safety impact.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Medium: important control improvement with manageable implementation effort.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Low: enhancement, documentation improvement or future reporting maturity item.</w:t>
      </w:r>
    </w:p>
    <w:p>
      <w:pPr>
        <w:pStyle w:val="Heading1"/>
      </w:pPr>
      <w:r>
        <w:t>Evidence Review Log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200"/>
        <w:gridCol w:w="1500"/>
        <w:gridCol w:w="2500"/>
        <w:gridCol w:w="16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Document reviewed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Finding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Follow-up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ESG Gap Analysis Template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