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GHG Emissions Data Collection Template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Activity data, evidence and calculation register for Scope 1, 2 and selected Scope 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Boundary and Method</w:t>
      </w:r>
    </w:p>
    <w:p>
      <w:pPr>
        <w:spacing w:after="120"/>
      </w:pPr>
      <w:r>
        <w:rPr>
          <w:rFonts w:ascii="Calibri" w:hAnsi="Calibri"/>
          <w:sz w:val="22"/>
        </w:rPr>
        <w:t>Define the organisational boundary before collecting data. For most SMEs, start with operational control: facilities, vehicles and equipment the company operates.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Five-year retention rule: </w:t>
            </w:r>
            <w:r>
              <w:rPr>
                <w:rFonts w:ascii="Calibri" w:hAnsi="Calibri"/>
                <w:sz w:val="22"/>
              </w:rPr>
              <w:t>Under Article 6 of Federal Decree-Law No. 11 of 2024, entities must maintain emissions records for a minimum of five years. Archive source evidence, calculation files, emission factors, assumptions, approvals and submitted reports so they can be retrieved for management review, customer due diligence or authority inspection.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Item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Entry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Reporting year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2026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Confirm calendar or financial year.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Boundary method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Operational control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Update if equity share or financial control is selected.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Sites included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[List UAE sites]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Include warehouses, offices, stores and leased facilities controlled by the company.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Gases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CO2, CH4, N2O, HFCs where relevant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Convert to CO2e using accepted emission factors.</w:t>
            </w:r>
          </w:p>
        </w:tc>
      </w:tr>
    </w:tbl>
    <w:p/>
    <w:p>
      <w:pPr>
        <w:pStyle w:val="Heading1"/>
      </w:pPr>
      <w:r>
        <w:t>Activity Data Collection Sheet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900"/>
        <w:gridCol w:w="1050"/>
        <w:gridCol w:w="2100"/>
        <w:gridCol w:w="1100"/>
        <w:gridCol w:w="1050"/>
        <w:gridCol w:w="14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Source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Unit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Frequency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 quality notes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Electricity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2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kWh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DEWA / ADDC / SEWA bill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Monthly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Finance</w:t>
            </w:r>
          </w:p>
        </w:tc>
        <w:tc>
          <w:tcPr>
            <w:tcW w:type="dxa" w:w="1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Diesel for vehicles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1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litres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Fuel card / receipts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Monthly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Fleet</w:t>
            </w:r>
          </w:p>
        </w:tc>
        <w:tc>
          <w:tcPr>
            <w:tcW w:type="dxa" w:w="1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Petrol for vehicles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1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litres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Fuel card / receipts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Monthly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Fleet</w:t>
            </w:r>
          </w:p>
        </w:tc>
        <w:tc>
          <w:tcPr>
            <w:tcW w:type="dxa" w:w="1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Refrigerant top-up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1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kg by gas type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Maintenance report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Event-based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Facilities</w:t>
            </w:r>
          </w:p>
        </w:tc>
        <w:tc>
          <w:tcPr>
            <w:tcW w:type="dxa" w:w="1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Business travel flights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3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passenger-km or spend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Travel agent report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Quarterly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1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Waste disposal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3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kg or tonnes by type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Waste contractor ticket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Monthly</w:t>
            </w:r>
          </w:p>
        </w:tc>
        <w:tc>
          <w:tcPr>
            <w:tcW w:type="dxa" w:w="10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HSE</w:t>
            </w:r>
          </w:p>
        </w:tc>
        <w:tc>
          <w:tcPr>
            <w:tcW w:type="dxa" w:w="1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Calculation Register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500"/>
        <w:gridCol w:w="1450"/>
        <w:gridCol w:w="1450"/>
        <w:gridCol w:w="1200"/>
        <w:gridCol w:w="1850"/>
        <w:gridCol w:w="960"/>
      </w:tblGrid>
      <w:tr>
        <w:trPr>
          <w:tblHeader w:val="true"/>
        </w:trP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Month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Source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Activity data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Emission factor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kg CO2e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file</w:t>
            </w:r>
          </w:p>
        </w:tc>
        <w:tc>
          <w:tcPr>
            <w:tcW w:type="dxa" w:w="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Reviewer</w:t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Quality control: </w:t>
            </w:r>
            <w:r>
              <w:rPr>
                <w:rFonts w:ascii="Calibri" w:hAnsi="Calibri"/>
                <w:sz w:val="22"/>
              </w:rPr>
              <w:t>Keep all source invoices and assumptions. Mark estimates clearly and replace them with actual data when available.</w:t>
            </w:r>
          </w:p>
        </w:tc>
      </w:tr>
    </w:tbl>
    <w:p/>
    <w:p>
      <w:pPr>
        <w:pStyle w:val="Heading1"/>
      </w:pPr>
      <w:r>
        <w:t>Five-Year Archive Index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50"/>
        <w:gridCol w:w="1300"/>
        <w:gridCol w:w="1600"/>
        <w:gridCol w:w="181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Record type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Archive location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Retention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1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Retrieval notes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and fuel invoices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Finance folder by year and site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years minimum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Finance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Calculation workbook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Controlled ESG folder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years minimum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Emission factors and assumptions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Methodology subfolder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years minimum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approvals and submissions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Governance records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years minimum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Secretary / ESG Lead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3PL and supplier emissions evidence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Scope 3 evidence folder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years minimum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Procurement / Logistics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GHG Emissions Data Collection Template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