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ESG Governance Framework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Roles, routines and dashboard template for management oversight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Governance Model</w:t>
      </w:r>
    </w:p>
    <w:p>
      <w:pPr>
        <w:spacing w:after="120"/>
      </w:pPr>
      <w:r>
        <w:rPr>
          <w:rFonts w:ascii="Calibri" w:hAnsi="Calibri"/>
          <w:sz w:val="22"/>
        </w:rPr>
        <w:t>ESG governance should fit the company size. An SME does not need a large committee, but it does need clear accountability, documented decisions and evidence.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Five-year retention rule: </w:t>
            </w:r>
            <w:r>
              <w:rPr>
                <w:rFonts w:ascii="Calibri" w:hAnsi="Calibri"/>
                <w:sz w:val="22"/>
              </w:rPr>
              <w:t>Under Article 6 of Federal Decree-Law No. 11 of 2024, emissions records must be retained for at least five years. The ESG governance process should assign ownership for archiving, access control, periodic back-up and retrieval of emissions records and supporting evidence.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860"/>
        <w:gridCol w:w="160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Responsibilities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Review frequency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Board / Owner</w:t>
            </w:r>
          </w:p>
        </w:tc>
        <w:tc>
          <w:tcPr>
            <w:tcW w:type="dxa" w:w="5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Approve policy, risk appetite, annual ESG priorities and major investments.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Quarterly or semi-annual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General Manager</w:t>
            </w:r>
          </w:p>
        </w:tc>
        <w:tc>
          <w:tcPr>
            <w:tcW w:type="dxa" w:w="5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Ensure ESG obligations are built into operations, budgets and commercial decisions.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ESG Lead</w:t>
            </w:r>
          </w:p>
        </w:tc>
        <w:tc>
          <w:tcPr>
            <w:tcW w:type="dxa" w:w="5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Maintain data, action plan, evidence folder, customer responses and reporting calendar.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Finance</w:t>
            </w:r>
          </w:p>
        </w:tc>
        <w:tc>
          <w:tcPr>
            <w:tcW w:type="dxa" w:w="5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Provide utility, fuel, procurement and capex data.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Operations / HSE</w:t>
            </w:r>
          </w:p>
        </w:tc>
        <w:tc>
          <w:tcPr>
            <w:tcW w:type="dxa" w:w="5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Implement energy, waste, safety, permit and incident controls.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Monthly</w:t>
            </w:r>
          </w:p>
        </w:tc>
      </w:tr>
    </w:tbl>
    <w:p/>
    <w:p>
      <w:pPr>
        <w:pStyle w:val="Heading1"/>
      </w:pPr>
      <w:r>
        <w:t>Terms of Reference Template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Purpose: oversee climate and ESG compliance readiness and continuous improvement.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Scope: environmental, social, governance, climate risk and GHG data matters relevant to UAE operations.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Authority: request data from functions, escalate material risks, recommend actions and budgets.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Records: keep agendas, minutes, decisions, data files and evidence in a controlled folder.</w:t>
      </w:r>
    </w:p>
    <w:p>
      <w:pPr>
        <w:pStyle w:val="Heading1"/>
      </w:pPr>
      <w:r>
        <w:t>Management Dashboard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100"/>
        <w:gridCol w:w="1100"/>
        <w:gridCol w:w="19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Metric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Definition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Target</w:t>
            </w:r>
          </w:p>
        </w:tc>
        <w:tc>
          <w:tcPr>
            <w:tcW w:type="dxa" w:w="1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Comment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GHG emissions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tCO2e year-to-date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Electricity intensity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kWh per revenue / area / unit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Water use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m3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Health and safety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Incidents and lost time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Action plan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% actions on track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1"/>
      </w:pPr>
      <w:r>
        <w:t>Records and Archive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2100"/>
        <w:gridCol w:w="17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Record class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Examples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Retention rule</w:t>
            </w:r>
          </w:p>
        </w:tc>
        <w:tc>
          <w:tcPr>
            <w:tcW w:type="dxa" w:w="1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Emissions records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GHG activity data, invoices, factors, calculations and reviews.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Minimum five years under Article 6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 / Finance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Authority correspondence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MOCCAE, Dubai Municipality, EAD, emirate bodies, Free Zone Authorities and inspection records.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Minimum five years or longer if permit requires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/ Admin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Governance records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Minutes, decisions, approvals, policies and action plan updates.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Minimum five years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Secretary / ESG Lead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Access and security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Restrict editable files, keep back-ups and retain final signed versions.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Ongoing control</w:t>
            </w:r>
          </w:p>
        </w:tc>
        <w:tc>
          <w:tcPr>
            <w:tcW w:type="dxa" w:w="171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IT / ESG Lead</w:t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ESG Governance Framework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