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74B5"/>
          <w:sz w:val="20"/>
        </w:rPr>
        <w:t>ADVISORY TOOLKIT</w:t>
      </w:r>
    </w:p>
    <w:p>
      <w:pPr>
        <w:spacing w:after="80"/>
      </w:pPr>
      <w:r>
        <w:rPr>
          <w:rFonts w:ascii="Calibri" w:hAnsi="Calibri"/>
          <w:b/>
          <w:color w:val="0B2545"/>
          <w:sz w:val="48"/>
        </w:rPr>
        <w:t>Sustainability Policy</w:t>
      </w:r>
    </w:p>
    <w:p>
      <w:pPr>
        <w:spacing w:after="280"/>
      </w:pPr>
      <w:r>
        <w:rPr>
          <w:rFonts w:ascii="Calibri" w:hAnsi="Calibri"/>
          <w:color w:val="595959"/>
          <w:sz w:val="26"/>
        </w:rPr>
        <w:t>Board-ready policy template for UAE private sector companies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Field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Details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Prepared by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SCP Business Advisory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Audience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UAE private sector companies, including SMEs and owner-managed businesses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Use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Client advisory, internal assessment, implementation planning and evidence collection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Version</w:t>
            </w:r>
          </w:p>
        </w:tc>
        <w:tc>
          <w:tcPr>
            <w:tcW w:type="dxa" w:w="74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June 2026</w:t>
            </w:r>
          </w:p>
        </w:tc>
      </w:tr>
    </w:tbl>
    <w:p/>
    <w:p>
      <w:pPr>
        <w:pBdr>
          <w:bottom w:val="single" w:sz="8" w:space="4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Consultant note: </w:t>
            </w:r>
            <w:r>
              <w:rPr>
                <w:rFonts w:ascii="Calibri" w:hAnsi="Calibri"/>
                <w:sz w:val="22"/>
              </w:rPr>
              <w:t>This document is a practical advisory aid. It should be tailored to the client entity, emirate-level permits, sector regulations, contracts and any implementing decisions issued under UAE climate legislation.</w:t>
            </w:r>
          </w:p>
        </w:tc>
      </w:tr>
    </w:tbl>
    <w:p/>
    <w:p>
      <w:pPr>
        <w:pStyle w:val="Heading1"/>
      </w:pPr>
      <w:r>
        <w:t>Policy Statement</w:t>
      </w:r>
    </w:p>
    <w:p>
      <w:pPr>
        <w:spacing w:after="120"/>
      </w:pPr>
      <w:r>
        <w:rPr>
          <w:rFonts w:ascii="Calibri" w:hAnsi="Calibri"/>
          <w:sz w:val="22"/>
        </w:rPr>
        <w:t>[Company Name] is committed to operating responsibly in the UAE, managing environmental and climate impacts, protecting employees, acting ethically and supporting customers and partners in a low-carbon transition.</w:t>
      </w:r>
    </w:p>
    <w:p>
      <w:pPr>
        <w:pStyle w:val="Heading1"/>
      </w:pPr>
      <w:r>
        <w:t>Commitments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Comply with applicable UAE federal and emirate-level environmental, climate, labour, health and safety, data protection and business ethics requirements.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Measure and manage material energy, fuel, water, waste and greenhouse gas impacts.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Identify climate-related risks and opportunities that may affect operations, supply chains, customers and assets.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Promote safe, fair and respectful working conditions for employees and workers under the company's control.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Maintain accurate records and avoid misleading sustainability claims.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Review ESG performance at least annually and update objectives where needed.</w:t>
      </w:r>
    </w:p>
    <w:p>
      <w:pPr>
        <w:pStyle w:val="Heading1"/>
      </w:pPr>
      <w:r>
        <w:t>Roles and Responsibilities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Role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Responsibility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Managing Director / Owner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Approves this policy and ensures adequate resources.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ESG Lead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Maintains ESG plan, evidence, data collection and reporting.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Managers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Implement controls in their departments and report issues.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Employees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Follow procedures, save energy and water, report incidents and concerns.</w:t>
            </w:r>
          </w:p>
        </w:tc>
      </w:tr>
    </w:tbl>
    <w:p/>
    <w:p>
      <w:pPr>
        <w:pStyle w:val="Heading1"/>
      </w:pPr>
      <w:r>
        <w:t>Approval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Field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Entry</w:t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Approved by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Title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Signature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Next review date</w:t>
            </w:r>
          </w:p>
        </w:tc>
        <w:tc>
          <w:tcPr>
            <w:tcW w:type="dxa" w:w="70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pStyle w:val="Heading1"/>
      </w:pPr>
      <w:r>
        <w:t>Client Tailoring and Evidence Pack</w:t>
      </w:r>
    </w:p>
    <w:p>
      <w:pPr>
        <w:spacing w:after="120"/>
      </w:pPr>
      <w:r>
        <w:rPr>
          <w:rFonts w:ascii="Calibri" w:hAnsi="Calibri"/>
          <w:sz w:val="22"/>
        </w:rPr>
        <w:t>Before issuing this document to a client, replace bracketed fields, confirm the client legal entity name, emirate, licence activity, facilities, sector permits and reporting period. For multi-site clients, prepare one consolidated version plus site-level evidence where the data is materially different.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Authority roles: </w:t>
            </w:r>
            <w:r>
              <w:rPr>
                <w:rFonts w:ascii="Calibri" w:hAnsi="Calibri"/>
                <w:sz w:val="22"/>
              </w:rPr>
              <w:t>MOCCAE sets federal climate and environmental policy direction, guidance and national frameworks. Local authorities and regulators, such as Dubai Municipality, Environment Agency - Abu Dhabi (EAD), relevant emirate environmental bodies and Free Zone Authorities including Umm Al Quwain Free Zone or JAFZA, typically administer local environmental permits, inspections, facility-level compliance and sector-specific requirements.</w:t>
            </w:r>
          </w:p>
        </w:tc>
      </w:tr>
    </w:tbl>
    <w:p/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360"/>
        <w:gridCol w:w="18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Tailoring area</w:t>
            </w:r>
          </w:p>
        </w:tc>
        <w:tc>
          <w:tcPr>
            <w:tcW w:type="dxa" w:w="5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What to confirm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Suggested owner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Company profile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Trade licence, activity list, site list, ownership and operating boundary.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Admin / Legal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Compliance context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Applicable UAE federal law, MOCCAE guidance, emirate permits, local inspection requirements, customer requirements, free-zone rules and tender clauses.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Consultant / Compliance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Evidence folder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Utility bills, fuel records, waste tickets, HR records, policies, minutes, photos and calculations.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ESG Lead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Approval record</w:t>
            </w:r>
          </w:p>
        </w:tc>
        <w:tc>
          <w:tcPr>
            <w:tcW w:type="dxa" w:w="536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Management sign-off, version control, review date and action owners.</w:t>
            </w:r>
          </w:p>
        </w:tc>
        <w:tc>
          <w:tcPr>
            <w:tcW w:type="dxa" w:w="1800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Managing Director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 xml:space="preserve">Evidence standard: </w:t>
            </w:r>
            <w:r>
              <w:rPr>
                <w:rFonts w:ascii="Calibri" w:hAnsi="Calibri"/>
                <w:sz w:val="22"/>
              </w:rPr>
              <w:t>For every claim, score, action or risk rating, keep a source file or management note. This reduces greenwashing risk and makes the toolkit useful for customer due diligence, tenders, bank requests and regulatory enquiries.</w:t>
            </w:r>
          </w:p>
        </w:tc>
      </w:tr>
    </w:tbl>
    <w:p/>
    <w:p>
      <w:pPr>
        <w:pStyle w:val="Heading1"/>
      </w:pPr>
      <w:r>
        <w:t>Reference Sources for Tailoring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Legislation platform, Environment and Natural Resources category, including legislation on safeguarding the environment and reducing the negative effects of climate change.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Ministry of Climate Change and Environment mandate, including climate policy, strategies and initiatives supporting the UAE Net Zero 2050 Strategy.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UAE Net Zero by 2050 Strategic Initiative and UAE Nationally Determined Contribution direction for emissions reduction.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GHG Protocol Corporate Standard and Scope 2 Guidance for organisational greenhouse gas accounting.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sz w:val="22"/>
        </w:rPr>
        <w:t>ISSB IFRS S1 and IFRS S2, GRI Standards and local market ESG reporting guidance where applicable to listed entities or customer requirements.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7"/>
      </w:rPr>
      <w:t>Sustainability Policy | Client-ready working template | June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95959"/>
        <w:sz w:val="18"/>
      </w:rPr>
      <w:t>SCP Business Advisory | UAE Climate &amp; ESG Advisory Toolkit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