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74B5"/>
          <w:sz w:val="20"/>
        </w:rPr>
        <w:t>ADVISORY TOOLKIT</w:t>
      </w:r>
    </w:p>
    <w:p>
      <w:pPr>
        <w:spacing w:after="80"/>
      </w:pPr>
      <w:r>
        <w:rPr>
          <w:rFonts w:ascii="Calibri" w:hAnsi="Calibri"/>
          <w:b/>
          <w:color w:val="0B2545"/>
          <w:sz w:val="48"/>
        </w:rPr>
        <w:t>ESG Action Plan</w:t>
      </w:r>
    </w:p>
    <w:p>
      <w:pPr>
        <w:spacing w:after="280"/>
      </w:pPr>
      <w:r>
        <w:rPr>
          <w:rFonts w:ascii="Calibri" w:hAnsi="Calibri"/>
          <w:color w:val="595959"/>
          <w:sz w:val="26"/>
        </w:rPr>
        <w:t>Practical implementation tracker with quick wins and monthly review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Field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Details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Prepared by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SCP Business Advisory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Audience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UAE private sector companies, including SMEs and owner-managed businesses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Use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Client advisory, internal assessment, implementation planning and evidence collection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Version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June 2026</w:t>
            </w:r>
          </w:p>
        </w:tc>
      </w:tr>
    </w:tbl>
    <w:p/>
    <w:p>
      <w:pPr>
        <w:pBdr>
          <w:bottom w:val="single" w:sz="8" w:space="4" w:color="2E74B5"/>
        </w:pBdr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2"/>
              </w:rPr>
              <w:t xml:space="preserve">Consultant note: </w:t>
            </w:r>
            <w:r>
              <w:rPr>
                <w:rFonts w:ascii="Calibri" w:hAnsi="Calibri"/>
                <w:sz w:val="22"/>
              </w:rPr>
              <w:t>This document is a practical advisory aid. It should be tailored to the client entity, emirate-level permits, sector regulations, contracts and any implementing decisions issued under UAE climate legislation.</w:t>
            </w:r>
          </w:p>
        </w:tc>
      </w:tr>
    </w:tbl>
    <w:p/>
    <w:p>
      <w:pPr>
        <w:pStyle w:val="Heading1"/>
      </w:pPr>
      <w:r>
        <w:t>Action Plan Template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2300"/>
        <w:gridCol w:w="1150"/>
        <w:gridCol w:w="1600"/>
        <w:gridCol w:w="1100"/>
        <w:gridCol w:w="2010"/>
        <w:gridCol w:w="600"/>
      </w:tblGrid>
      <w:tr>
        <w:trPr>
          <w:tblHeader w:val="true"/>
        </w:trPr>
        <w:tc>
          <w:tcPr>
            <w:tcW w:type="dxa" w:w="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No.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Action</w:t>
            </w:r>
          </w:p>
        </w:tc>
        <w:tc>
          <w:tcPr>
            <w:tcW w:type="dxa" w:w="1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Pillar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Owner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Due date</w:t>
            </w:r>
          </w:p>
        </w:tc>
        <w:tc>
          <w:tcPr>
            <w:tcW w:type="dxa" w:w="2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KPI / evidence</w:t>
            </w:r>
          </w:p>
        </w:tc>
        <w:tc>
          <w:tcPr>
            <w:tcW w:type="dxa" w:w="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Status</w:t>
            </w:r>
          </w:p>
        </w:tc>
      </w:tr>
      <w:tr>
        <w:tc>
          <w:tcPr>
            <w:tcW w:type="dxa" w:w="6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Appoint ESG lead</w:t>
            </w:r>
          </w:p>
        </w:tc>
        <w:tc>
          <w:tcPr>
            <w:tcW w:type="dxa" w:w="11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Governance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Managing Director</w:t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30 days</w:t>
            </w:r>
          </w:p>
        </w:tc>
        <w:tc>
          <w:tcPr>
            <w:tcW w:type="dxa" w:w="201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Role confirmed in writing</w:t>
            </w:r>
          </w:p>
        </w:tc>
        <w:tc>
          <w:tcPr>
            <w:tcW w:type="dxa" w:w="6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Open</w:t>
            </w:r>
          </w:p>
        </w:tc>
      </w:tr>
      <w:tr>
        <w:tc>
          <w:tcPr>
            <w:tcW w:type="dxa" w:w="6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Build GHG baseline</w:t>
            </w:r>
          </w:p>
        </w:tc>
        <w:tc>
          <w:tcPr>
            <w:tcW w:type="dxa" w:w="11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Climate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Finance / ESG Lead</w:t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60 days</w:t>
            </w:r>
          </w:p>
        </w:tc>
        <w:tc>
          <w:tcPr>
            <w:tcW w:type="dxa" w:w="201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Scope 1 and 2 inventory completed</w:t>
            </w:r>
          </w:p>
        </w:tc>
        <w:tc>
          <w:tcPr>
            <w:tcW w:type="dxa" w:w="6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Open</w:t>
            </w:r>
          </w:p>
        </w:tc>
      </w:tr>
      <w:tr>
        <w:tc>
          <w:tcPr>
            <w:tcW w:type="dxa" w:w="6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Reduce electricity use 5%</w:t>
            </w:r>
          </w:p>
        </w:tc>
        <w:tc>
          <w:tcPr>
            <w:tcW w:type="dxa" w:w="11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Environment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Operations</w:t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12 months</w:t>
            </w:r>
          </w:p>
        </w:tc>
        <w:tc>
          <w:tcPr>
            <w:tcW w:type="dxa" w:w="201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Monthly kWh trend</w:t>
            </w:r>
          </w:p>
        </w:tc>
        <w:tc>
          <w:tcPr>
            <w:tcW w:type="dxa" w:w="6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Open</w:t>
            </w:r>
          </w:p>
        </w:tc>
      </w:tr>
      <w:tr>
        <w:tc>
          <w:tcPr>
            <w:tcW w:type="dxa" w:w="6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Supplier ESG screening</w:t>
            </w:r>
          </w:p>
        </w:tc>
        <w:tc>
          <w:tcPr>
            <w:tcW w:type="dxa" w:w="11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Procurement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Procurement</w:t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6 months</w:t>
            </w:r>
          </w:p>
        </w:tc>
        <w:tc>
          <w:tcPr>
            <w:tcW w:type="dxa" w:w="201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Checklist added to onboarding</w:t>
            </w:r>
          </w:p>
        </w:tc>
        <w:tc>
          <w:tcPr>
            <w:tcW w:type="dxa" w:w="6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Open</w:t>
            </w:r>
          </w:p>
        </w:tc>
      </w:tr>
      <w:tr>
        <w:tc>
          <w:tcPr>
            <w:tcW w:type="dxa" w:w="6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Worker welfare review</w:t>
            </w:r>
          </w:p>
        </w:tc>
        <w:tc>
          <w:tcPr>
            <w:tcW w:type="dxa" w:w="11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Social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HR / HSE</w:t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90 days</w:t>
            </w:r>
          </w:p>
        </w:tc>
        <w:tc>
          <w:tcPr>
            <w:tcW w:type="dxa" w:w="201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Corrective actions closed</w:t>
            </w:r>
          </w:p>
        </w:tc>
        <w:tc>
          <w:tcPr>
            <w:tcW w:type="dxa" w:w="6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Open</w:t>
            </w:r>
          </w:p>
        </w:tc>
      </w:tr>
    </w:tbl>
    <w:p/>
    <w:p>
      <w:pPr>
        <w:pStyle w:val="Heading1"/>
      </w:pPr>
      <w:r>
        <w:t>Example Quick Wins for UAE SMEs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Tune cooling set-points and preventive maintenance schedules.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Switch common areas and warehouses to LED lighting and motion sensors.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Track fleet fuel by vehicle and driver; remove avoidable idling.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Ask key suppliers for basic ESG and labour compliance evidence.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Add ESG evidence review to monthly management meetings.</w:t>
      </w:r>
    </w:p>
    <w:p>
      <w:pPr>
        <w:pStyle w:val="Heading1"/>
      </w:pPr>
      <w:r>
        <w:t>Monthly Progress Review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2300"/>
        <w:gridCol w:w="2200"/>
        <w:gridCol w:w="2000"/>
        <w:gridCol w:w="1860"/>
      </w:tblGrid>
      <w:tr>
        <w:trPr>
          <w:tblHeader w:val="true"/>
        </w:trPr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Month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Completed actions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Delayed actions</w:t>
            </w:r>
          </w:p>
        </w:tc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Decisions needed</w:t>
            </w:r>
          </w:p>
        </w:tc>
        <w:tc>
          <w:tcPr>
            <w:tcW w:type="dxa" w:w="1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Management comments</w:t>
            </w:r>
          </w:p>
        </w:tc>
      </w:tr>
      <w:tr>
        <w:tc>
          <w:tcPr>
            <w:tcW w:type="dxa" w:w="10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0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0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0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0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0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0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0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0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0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0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0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0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0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0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0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</w:tbl>
    <w:p/>
    <w:p>
      <w:pPr>
        <w:pStyle w:val="Heading1"/>
      </w:pPr>
      <w:r>
        <w:t>Client Tailoring and Evidence Pack</w:t>
      </w:r>
    </w:p>
    <w:p>
      <w:pPr>
        <w:spacing w:after="120"/>
      </w:pPr>
      <w:r>
        <w:rPr>
          <w:rFonts w:ascii="Calibri" w:hAnsi="Calibri"/>
          <w:sz w:val="22"/>
        </w:rPr>
        <w:t>Before issuing this document to a client, replace bracketed fields, confirm the client legal entity name, emirate, licence activity, facilities, sector permits and reporting period. For multi-site clients, prepare one consolidated version plus site-level evidence where the data is materially different.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2"/>
              </w:rPr>
              <w:t xml:space="preserve">Authority roles: </w:t>
            </w:r>
            <w:r>
              <w:rPr>
                <w:rFonts w:ascii="Calibri" w:hAnsi="Calibri"/>
                <w:sz w:val="22"/>
              </w:rPr>
              <w:t>MOCCAE sets federal climate and environmental policy direction, guidance and national frameworks. Local authorities and regulators, such as Dubai Municipality, Environment Agency - Abu Dhabi (EAD), relevant emirate environmental bodies and Free Zone Authorities including Umm Al Quwain Free Zone or JAFZA, typically administer local environmental permits, inspections, facility-level compliance and sector-specific requirements.</w:t>
            </w:r>
          </w:p>
        </w:tc>
      </w:tr>
    </w:tbl>
    <w:p/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5360"/>
        <w:gridCol w:w="1800"/>
      </w:tblGrid>
      <w:tr>
        <w:trPr>
          <w:tblHeader w:val="true"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Tailoring area</w:t>
            </w:r>
          </w:p>
        </w:tc>
        <w:tc>
          <w:tcPr>
            <w:tcW w:type="dxa" w:w="5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What to confirm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Suggested owner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Company profile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Trade licence, activity list, site list, ownership and operating boundary.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Admin / Legal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Compliance context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Applicable UAE federal law, MOCCAE guidance, emirate permits, local inspection requirements, customer requirements, free-zone rules and tender clauses.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Consultant / Compliance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Evidence folder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Utility bills, fuel records, waste tickets, HR records, policies, minutes, photos and calculations.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ESG Lead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Approval record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Management sign-off, version control, review date and action owners.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Managing Director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4D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2"/>
              </w:rPr>
              <w:t xml:space="preserve">Evidence standard: </w:t>
            </w:r>
            <w:r>
              <w:rPr>
                <w:rFonts w:ascii="Calibri" w:hAnsi="Calibri"/>
                <w:sz w:val="22"/>
              </w:rPr>
              <w:t>For every claim, score, action or risk rating, keep a source file or management note. This reduces greenwashing risk and makes the toolkit useful for customer due diligence, tenders, bank requests and regulatory enquiries.</w:t>
            </w:r>
          </w:p>
        </w:tc>
      </w:tr>
    </w:tbl>
    <w:p/>
    <w:p>
      <w:pPr>
        <w:pStyle w:val="Heading1"/>
      </w:pPr>
      <w:r>
        <w:t>Reference Sources for Tailoring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UAE Legislation platform, Environment and Natural Resources category, including legislation on safeguarding the environment and reducing the negative effects of climate change.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UAE Ministry of Climate Change and Environment mandate, including climate policy, strategies and initiatives supporting the UAE Net Zero 2050 Strategy.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UAE Net Zero by 2050 Strategic Initiative and UAE Nationally Determined Contribution direction for emissions reduction.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GHG Protocol Corporate Standard and Scope 2 Guidance for organisational greenhouse gas accounting.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ISSB IFRS S1 and IFRS S2, GRI Standards and local market ESG reporting guidance where applicable to listed entities or customer requirements.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5959"/>
        <w:sz w:val="17"/>
      </w:rPr>
      <w:t>ESG Action Plan | Client-ready working template | June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595959"/>
        <w:sz w:val="18"/>
      </w:rPr>
      <w:t>SCP Business Advisory | UAE Climate &amp; ESG Advisory Toolkit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