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9222D"/>
          <w:sz w:val="46"/>
        </w:rPr>
        <w:t>Procurement Policy</w:t>
      </w:r>
    </w:p>
    <w:p>
      <w:pPr>
        <w:spacing w:after="280"/>
      </w:pPr>
      <w:r>
        <w:rPr>
          <w:rFonts w:ascii="Calibri" w:hAnsi="Calibri"/>
          <w:color w:val="5D6978"/>
          <w:sz w:val="25"/>
        </w:rPr>
        <w:t>A governance-ready policy for UAE SMEs purchasing goods, services, technology, and works.</w:t>
      </w:r>
    </w:p>
    <w:p>
      <w:pPr>
        <w:spacing w:after="240"/>
        <w:pBdr>
          <w:bottom w:val="single" w:sz="8" w:space="1" w:color="D7DBE2"/>
        </w:pBdr>
      </w:pPr>
    </w:p>
    <w:p>
      <w:pPr>
        <w:pStyle w:val="Heading1"/>
      </w:pPr>
      <w:r>
        <w:t>1. Purpose</w:t>
      </w:r>
    </w:p>
    <w:p>
      <w:r>
        <w:t>This policy establishes consistent, transparent, and commercially disciplined procurement practices. It is designed for UAE SMEs and should be adopted by management, finance, operations, and any employee who commits company funds or manages suppliers.</w:t>
      </w:r>
    </w:p>
    <w:p>
      <w:pPr>
        <w:pStyle w:val="Heading1"/>
      </w:pPr>
      <w:r>
        <w:t>2. Scope</w:t>
      </w:r>
    </w:p>
    <w:p>
      <w:pPr>
        <w:pStyle w:val="ListBullet"/>
        <w:spacing w:after="80"/>
      </w:pPr>
      <w:r>
        <w:t>Applies to all purchases, supplier selections, renewals, framework agreements, subscriptions, outsourced services, and capital purchases.</w:t>
      </w:r>
    </w:p>
    <w:p>
      <w:pPr>
        <w:pStyle w:val="ListBullet"/>
        <w:spacing w:after="80"/>
      </w:pPr>
      <w:r>
        <w:t>Covers all business units, branches, and UAE free-zone or mainland entities unless a stricter group policy applies.</w:t>
      </w:r>
    </w:p>
    <w:p>
      <w:pPr>
        <w:pStyle w:val="ListBullet"/>
        <w:spacing w:after="80"/>
      </w:pPr>
      <w:r>
        <w:t>Excludes payroll, statutory government fees, bank charges, and petty-cash items below the petty-cash limit, subject to finance controls.</w:t>
      </w:r>
    </w:p>
    <w:p>
      <w:pPr>
        <w:pStyle w:val="Heading1"/>
      </w:pPr>
      <w:r>
        <w:t>3. Core Principles</w:t>
      </w:r>
    </w:p>
    <w:tbl>
      <w:tblPr>
        <w:tblStyle w:val="TableGrid"/>
        <w:tblW w:type="dxa" w:w="9360"/>
        <w:tblLayout w:type="fixed"/>
        <w:tblLook w:firstColumn="1" w:firstRow="1" w:lastColumn="0" w:lastRow="0" w:noHBand="0" w:noVBand="1" w:val="04A0"/>
        <w:jc w:val="center"/>
        <w:tblInd w:w="120" w:type="dxa"/>
      </w:tblPr>
      <w:tblGrid>
        <w:gridCol w:w="4680"/>
        <w:gridCol w:w="4680"/>
      </w:tblGrid>
      <w:tr>
        <w:trPr>
          <w:tblHeader w:val="true"/>
        </w:trPr>
        <w:tc>
          <w:tcPr>
            <w:tcW w:type="dxa" w:w="2520"/>
            <w:tcMar>
              <w:top w:w="80" w:type="dxa"/>
              <w:start w:w="120" w:type="dxa"/>
              <w:bottom w:w="80" w:type="dxa"/>
              <w:end w:w="120" w:type="dxa"/>
            </w:tcMar>
            <w:vAlign w:val="center"/>
            <w:shd w:fill="F2F4F7"/>
          </w:tcPr>
          <w:p>
            <w:pPr>
              <w:jc w:val="center"/>
            </w:pPr>
            <w:r>
              <w:rPr>
                <w:rFonts w:ascii="Calibri" w:hAnsi="Calibri"/>
                <w:b/>
                <w:color w:val="19222D"/>
                <w:sz w:val="20"/>
              </w:rPr>
              <w:t>Principle</w:t>
            </w:r>
          </w:p>
        </w:tc>
        <w:tc>
          <w:tcPr>
            <w:tcW w:type="dxa" w:w="6840"/>
            <w:tcMar>
              <w:top w:w="80" w:type="dxa"/>
              <w:start w:w="120" w:type="dxa"/>
              <w:bottom w:w="80" w:type="dxa"/>
              <w:end w:w="120" w:type="dxa"/>
            </w:tcMar>
            <w:vAlign w:val="center"/>
            <w:shd w:fill="F2F4F7"/>
          </w:tcPr>
          <w:p>
            <w:pPr>
              <w:jc w:val="center"/>
            </w:pPr>
            <w:r>
              <w:rPr>
                <w:rFonts w:ascii="Calibri" w:hAnsi="Calibri"/>
                <w:b/>
                <w:color w:val="19222D"/>
                <w:sz w:val="20"/>
              </w:rPr>
              <w:t>Policy Requirement</w:t>
            </w:r>
          </w:p>
        </w:tc>
      </w:tr>
      <w:tr>
        <w:tc>
          <w:tcPr>
            <w:tcW w:type="dxa" w:w="2520"/>
            <w:tcMar>
              <w:top w:w="80" w:type="dxa"/>
              <w:start w:w="120" w:type="dxa"/>
              <w:bottom w:w="80" w:type="dxa"/>
              <w:end w:w="120" w:type="dxa"/>
            </w:tcMar>
            <w:vAlign w:val="center"/>
          </w:tcPr>
          <w:p>
            <w:pPr>
              <w:spacing w:after="0"/>
            </w:pPr>
            <w:r>
              <w:rPr>
                <w:rFonts w:ascii="Calibri" w:hAnsi="Calibri"/>
                <w:color w:val="19222D"/>
                <w:sz w:val="19"/>
              </w:rPr>
              <w:t>Value for money</w:t>
            </w:r>
          </w:p>
        </w:tc>
        <w:tc>
          <w:tcPr>
            <w:tcW w:type="dxa" w:w="6840"/>
            <w:tcMar>
              <w:top w:w="80" w:type="dxa"/>
              <w:start w:w="120" w:type="dxa"/>
              <w:bottom w:w="80" w:type="dxa"/>
              <w:end w:w="120" w:type="dxa"/>
            </w:tcMar>
            <w:vAlign w:val="center"/>
          </w:tcPr>
          <w:p>
            <w:pPr>
              <w:spacing w:after="0"/>
            </w:pPr>
            <w:r>
              <w:rPr>
                <w:rFonts w:ascii="Calibri" w:hAnsi="Calibri"/>
                <w:color w:val="19222D"/>
                <w:sz w:val="19"/>
              </w:rPr>
              <w:t>Select suppliers using total cost, quality, service risk, delivery capability, warranty, and lifecycle cost.</w:t>
            </w:r>
          </w:p>
        </w:tc>
      </w:tr>
      <w:tr>
        <w:tc>
          <w:tcPr>
            <w:tcW w:type="dxa" w:w="2520"/>
            <w:tcMar>
              <w:top w:w="80" w:type="dxa"/>
              <w:start w:w="120" w:type="dxa"/>
              <w:bottom w:w="80" w:type="dxa"/>
              <w:end w:w="120" w:type="dxa"/>
            </w:tcMar>
            <w:vAlign w:val="center"/>
          </w:tcPr>
          <w:p>
            <w:pPr>
              <w:spacing w:after="0"/>
            </w:pPr>
            <w:r>
              <w:rPr>
                <w:rFonts w:ascii="Calibri" w:hAnsi="Calibri"/>
                <w:color w:val="19222D"/>
                <w:sz w:val="19"/>
              </w:rPr>
              <w:t>Transparency</w:t>
            </w:r>
          </w:p>
        </w:tc>
        <w:tc>
          <w:tcPr>
            <w:tcW w:type="dxa" w:w="6840"/>
            <w:tcMar>
              <w:top w:w="80" w:type="dxa"/>
              <w:start w:w="120" w:type="dxa"/>
              <w:bottom w:w="80" w:type="dxa"/>
              <w:end w:w="120" w:type="dxa"/>
            </w:tcMar>
            <w:vAlign w:val="center"/>
          </w:tcPr>
          <w:p>
            <w:pPr>
              <w:spacing w:after="0"/>
            </w:pPr>
            <w:r>
              <w:rPr>
                <w:rFonts w:ascii="Calibri" w:hAnsi="Calibri"/>
                <w:color w:val="19222D"/>
                <w:sz w:val="19"/>
              </w:rPr>
              <w:t>Maintain auditable records of requisitions, quotations, evaluations, approvals, contracts, and receipt evidence.</w:t>
            </w:r>
          </w:p>
        </w:tc>
      </w:tr>
      <w:tr>
        <w:tc>
          <w:tcPr>
            <w:tcW w:type="dxa" w:w="2520"/>
            <w:tcMar>
              <w:top w:w="80" w:type="dxa"/>
              <w:start w:w="120" w:type="dxa"/>
              <w:bottom w:w="80" w:type="dxa"/>
              <w:end w:w="120" w:type="dxa"/>
            </w:tcMar>
            <w:vAlign w:val="center"/>
          </w:tcPr>
          <w:p>
            <w:pPr>
              <w:spacing w:after="0"/>
            </w:pPr>
            <w:r>
              <w:rPr>
                <w:rFonts w:ascii="Calibri" w:hAnsi="Calibri"/>
                <w:color w:val="19222D"/>
                <w:sz w:val="19"/>
              </w:rPr>
              <w:t>Fair competition</w:t>
            </w:r>
          </w:p>
        </w:tc>
        <w:tc>
          <w:tcPr>
            <w:tcW w:type="dxa" w:w="6840"/>
            <w:tcMar>
              <w:top w:w="80" w:type="dxa"/>
              <w:start w:w="120" w:type="dxa"/>
              <w:bottom w:w="80" w:type="dxa"/>
              <w:end w:w="120" w:type="dxa"/>
            </w:tcMar>
            <w:vAlign w:val="center"/>
          </w:tcPr>
          <w:p>
            <w:pPr>
              <w:spacing w:after="0"/>
            </w:pPr>
            <w:r>
              <w:rPr>
                <w:rFonts w:ascii="Calibri" w:hAnsi="Calibri"/>
                <w:color w:val="19222D"/>
                <w:sz w:val="19"/>
              </w:rPr>
              <w:t>Use open and comparable sourcing unless a documented exception is approved.</w:t>
            </w:r>
          </w:p>
        </w:tc>
      </w:tr>
      <w:tr>
        <w:tc>
          <w:tcPr>
            <w:tcW w:type="dxa" w:w="2520"/>
            <w:tcMar>
              <w:top w:w="80" w:type="dxa"/>
              <w:start w:w="120" w:type="dxa"/>
              <w:bottom w:w="80" w:type="dxa"/>
              <w:end w:w="120" w:type="dxa"/>
            </w:tcMar>
            <w:vAlign w:val="center"/>
          </w:tcPr>
          <w:p>
            <w:pPr>
              <w:spacing w:after="0"/>
            </w:pPr>
            <w:r>
              <w:rPr>
                <w:rFonts w:ascii="Calibri" w:hAnsi="Calibri"/>
                <w:color w:val="19222D"/>
                <w:sz w:val="19"/>
              </w:rPr>
              <w:t>Segregation of duties</w:t>
            </w:r>
          </w:p>
        </w:tc>
        <w:tc>
          <w:tcPr>
            <w:tcW w:type="dxa" w:w="6840"/>
            <w:tcMar>
              <w:top w:w="80" w:type="dxa"/>
              <w:start w:w="120" w:type="dxa"/>
              <w:bottom w:w="80" w:type="dxa"/>
              <w:end w:w="120" w:type="dxa"/>
            </w:tcMar>
            <w:vAlign w:val="center"/>
          </w:tcPr>
          <w:p>
            <w:pPr>
              <w:spacing w:after="0"/>
            </w:pPr>
            <w:r>
              <w:rPr>
                <w:rFonts w:ascii="Calibri" w:hAnsi="Calibri"/>
                <w:color w:val="19222D"/>
                <w:sz w:val="19"/>
              </w:rPr>
              <w:t>Requester, approver, buyer, receiver, and invoice approver should be separated where practical.</w:t>
            </w:r>
          </w:p>
        </w:tc>
      </w:tr>
      <w:tr>
        <w:tc>
          <w:tcPr>
            <w:tcW w:type="dxa" w:w="2520"/>
            <w:tcMar>
              <w:top w:w="80" w:type="dxa"/>
              <w:start w:w="120" w:type="dxa"/>
              <w:bottom w:w="80" w:type="dxa"/>
              <w:end w:w="120" w:type="dxa"/>
            </w:tcMar>
            <w:vAlign w:val="center"/>
          </w:tcPr>
          <w:p>
            <w:pPr>
              <w:spacing w:after="0"/>
            </w:pPr>
            <w:r>
              <w:rPr>
                <w:rFonts w:ascii="Calibri" w:hAnsi="Calibri"/>
                <w:color w:val="19222D"/>
                <w:sz w:val="19"/>
              </w:rPr>
              <w:t>Compliance</w:t>
            </w:r>
          </w:p>
        </w:tc>
        <w:tc>
          <w:tcPr>
            <w:tcW w:type="dxa" w:w="6840"/>
            <w:tcMar>
              <w:top w:w="80" w:type="dxa"/>
              <w:start w:w="120" w:type="dxa"/>
              <w:bottom w:w="80" w:type="dxa"/>
              <w:end w:w="120" w:type="dxa"/>
            </w:tcMar>
            <w:vAlign w:val="center"/>
          </w:tcPr>
          <w:p>
            <w:pPr>
              <w:spacing w:after="0"/>
            </w:pPr>
            <w:r>
              <w:rPr>
                <w:rFonts w:ascii="Calibri" w:hAnsi="Calibri"/>
                <w:color w:val="19222D"/>
                <w:sz w:val="19"/>
              </w:rPr>
              <w:t>Verify supplier trade licence, VAT/TRN status where applicable, bank details, sanctions exposure, and conflict declarations.</w:t>
            </w:r>
          </w:p>
        </w:tc>
      </w:tr>
      <w:tr>
        <w:tc>
          <w:tcPr>
            <w:tcW w:type="dxa" w:w="2520"/>
            <w:tcMar>
              <w:top w:w="80" w:type="dxa"/>
              <w:start w:w="120" w:type="dxa"/>
              <w:bottom w:w="80" w:type="dxa"/>
              <w:end w:w="120" w:type="dxa"/>
            </w:tcMar>
            <w:vAlign w:val="center"/>
          </w:tcPr>
          <w:p>
            <w:pPr>
              <w:spacing w:after="0"/>
            </w:pPr>
            <w:r>
              <w:rPr>
                <w:rFonts w:ascii="Calibri" w:hAnsi="Calibri"/>
                <w:color w:val="19222D"/>
                <w:sz w:val="19"/>
              </w:rPr>
              <w:t>Confidentiality</w:t>
            </w:r>
          </w:p>
        </w:tc>
        <w:tc>
          <w:tcPr>
            <w:tcW w:type="dxa" w:w="6840"/>
            <w:tcMar>
              <w:top w:w="80" w:type="dxa"/>
              <w:start w:w="120" w:type="dxa"/>
              <w:bottom w:w="80" w:type="dxa"/>
              <w:end w:w="120" w:type="dxa"/>
            </w:tcMar>
            <w:vAlign w:val="center"/>
          </w:tcPr>
          <w:p>
            <w:pPr>
              <w:spacing w:after="0"/>
            </w:pPr>
            <w:r>
              <w:rPr>
                <w:rFonts w:ascii="Calibri" w:hAnsi="Calibri"/>
                <w:color w:val="19222D"/>
                <w:sz w:val="19"/>
              </w:rPr>
              <w:t>Protect pricing, bids, personal data, and commercial terms; share information only on a need-to-know basis.</w:t>
            </w:r>
          </w:p>
        </w:tc>
      </w:tr>
    </w:tbl>
    <w:p/>
    <w:p>
      <w:pPr>
        <w:pStyle w:val="Heading1"/>
      </w:pPr>
      <w:r>
        <w:t>4. Procurement Thresholds</w:t>
      </w:r>
    </w:p>
    <w:tbl>
      <w:tblPr>
        <w:tblStyle w:val="TableGrid"/>
        <w:tblW w:type="dxa" w:w="9360"/>
        <w:tblLayout w:type="fixed"/>
        <w:tblLook w:firstColumn="1" w:firstRow="1" w:lastColumn="0" w:lastRow="0" w:noHBand="0" w:noVBand="1" w:val="04A0"/>
        <w:jc w:val="center"/>
        <w:tblInd w:w="120" w:type="dxa"/>
      </w:tblPr>
      <w:tblGrid>
        <w:gridCol w:w="3120"/>
        <w:gridCol w:w="3120"/>
        <w:gridCol w:w="3120"/>
      </w:tblGrid>
      <w:tr>
        <w:trPr>
          <w:tblHeader w:val="true"/>
        </w:trPr>
        <w:tc>
          <w:tcPr>
            <w:tcW w:type="dxa" w:w="2088"/>
            <w:tcMar>
              <w:top w:w="80" w:type="dxa"/>
              <w:start w:w="120" w:type="dxa"/>
              <w:bottom w:w="80" w:type="dxa"/>
              <w:end w:w="120" w:type="dxa"/>
            </w:tcMar>
            <w:vAlign w:val="center"/>
            <w:shd w:fill="F2F4F7"/>
          </w:tcPr>
          <w:p>
            <w:pPr>
              <w:jc w:val="center"/>
            </w:pPr>
            <w:r>
              <w:rPr>
                <w:rFonts w:ascii="Calibri" w:hAnsi="Calibri"/>
                <w:b/>
                <w:color w:val="19222D"/>
                <w:sz w:val="20"/>
              </w:rPr>
              <w:t>Estimated Value (AED)</w:t>
            </w:r>
          </w:p>
        </w:tc>
        <w:tc>
          <w:tcPr>
            <w:tcW w:type="dxa" w:w="5112"/>
            <w:tcMar>
              <w:top w:w="80" w:type="dxa"/>
              <w:start w:w="120" w:type="dxa"/>
              <w:bottom w:w="80" w:type="dxa"/>
              <w:end w:w="120" w:type="dxa"/>
            </w:tcMar>
            <w:vAlign w:val="center"/>
            <w:shd w:fill="F2F4F7"/>
          </w:tcPr>
          <w:p>
            <w:pPr>
              <w:jc w:val="center"/>
            </w:pPr>
            <w:r>
              <w:rPr>
                <w:rFonts w:ascii="Calibri" w:hAnsi="Calibri"/>
                <w:b/>
                <w:color w:val="19222D"/>
                <w:sz w:val="20"/>
              </w:rPr>
              <w:t>Minimum Sourcing Method</w:t>
            </w:r>
          </w:p>
        </w:tc>
        <w:tc>
          <w:tcPr>
            <w:tcW w:type="dxa" w:w="2160"/>
            <w:tcMar>
              <w:top w:w="80" w:type="dxa"/>
              <w:start w:w="120" w:type="dxa"/>
              <w:bottom w:w="80" w:type="dxa"/>
              <w:end w:w="120" w:type="dxa"/>
            </w:tcMar>
            <w:vAlign w:val="center"/>
            <w:shd w:fill="F2F4F7"/>
          </w:tcPr>
          <w:p>
            <w:pPr>
              <w:jc w:val="center"/>
            </w:pPr>
            <w:r>
              <w:rPr>
                <w:rFonts w:ascii="Calibri" w:hAnsi="Calibri"/>
                <w:b/>
                <w:color w:val="19222D"/>
                <w:sz w:val="20"/>
              </w:rPr>
              <w:t>Approval</w:t>
            </w:r>
          </w:p>
        </w:tc>
      </w:tr>
      <w:tr>
        <w:tc>
          <w:tcPr>
            <w:tcW w:type="dxa" w:w="2088"/>
            <w:tcMar>
              <w:top w:w="80" w:type="dxa"/>
              <w:start w:w="120" w:type="dxa"/>
              <w:bottom w:w="80" w:type="dxa"/>
              <w:end w:w="120" w:type="dxa"/>
            </w:tcMar>
            <w:vAlign w:val="center"/>
          </w:tcPr>
          <w:p>
            <w:pPr>
              <w:spacing w:after="0"/>
            </w:pPr>
            <w:r>
              <w:rPr>
                <w:rFonts w:ascii="Calibri" w:hAnsi="Calibri"/>
                <w:color w:val="19222D"/>
                <w:sz w:val="19"/>
              </w:rPr>
              <w:t>Up to 5,000</w:t>
            </w:r>
          </w:p>
        </w:tc>
        <w:tc>
          <w:tcPr>
            <w:tcW w:type="dxa" w:w="5112"/>
            <w:tcMar>
              <w:top w:w="80" w:type="dxa"/>
              <w:start w:w="120" w:type="dxa"/>
              <w:bottom w:w="80" w:type="dxa"/>
              <w:end w:w="120" w:type="dxa"/>
            </w:tcMar>
            <w:vAlign w:val="center"/>
          </w:tcPr>
          <w:p>
            <w:pPr>
              <w:spacing w:after="0"/>
            </w:pPr>
            <w:r>
              <w:rPr>
                <w:rFonts w:ascii="Calibri" w:hAnsi="Calibri"/>
                <w:color w:val="19222D"/>
                <w:sz w:val="19"/>
              </w:rPr>
              <w:t>Petty cash, corporate card, or direct PO if reasonable price is evidenced.</w:t>
            </w:r>
          </w:p>
        </w:tc>
        <w:tc>
          <w:tcPr>
            <w:tcW w:type="dxa" w:w="2160"/>
            <w:tcMar>
              <w:top w:w="80" w:type="dxa"/>
              <w:start w:w="120" w:type="dxa"/>
              <w:bottom w:w="80" w:type="dxa"/>
              <w:end w:w="120" w:type="dxa"/>
            </w:tcMar>
            <w:vAlign w:val="center"/>
          </w:tcPr>
          <w:p>
            <w:pPr>
              <w:spacing w:after="0"/>
            </w:pPr>
            <w:r>
              <w:rPr>
                <w:rFonts w:ascii="Calibri" w:hAnsi="Calibri"/>
                <w:color w:val="19222D"/>
                <w:sz w:val="19"/>
              </w:rPr>
              <w:t>Line manager / budget owner</w:t>
            </w:r>
          </w:p>
        </w:tc>
      </w:tr>
      <w:tr>
        <w:tc>
          <w:tcPr>
            <w:tcW w:type="dxa" w:w="2088"/>
            <w:tcMar>
              <w:top w:w="80" w:type="dxa"/>
              <w:start w:w="120" w:type="dxa"/>
              <w:bottom w:w="80" w:type="dxa"/>
              <w:end w:w="120" w:type="dxa"/>
            </w:tcMar>
            <w:vAlign w:val="center"/>
          </w:tcPr>
          <w:p>
            <w:pPr>
              <w:spacing w:after="0"/>
            </w:pPr>
            <w:r>
              <w:rPr>
                <w:rFonts w:ascii="Calibri" w:hAnsi="Calibri"/>
                <w:color w:val="19222D"/>
                <w:sz w:val="19"/>
              </w:rPr>
              <w:t>5,001 - 25,000</w:t>
            </w:r>
          </w:p>
        </w:tc>
        <w:tc>
          <w:tcPr>
            <w:tcW w:type="dxa" w:w="5112"/>
            <w:tcMar>
              <w:top w:w="80" w:type="dxa"/>
              <w:start w:w="120" w:type="dxa"/>
              <w:bottom w:w="80" w:type="dxa"/>
              <w:end w:w="120" w:type="dxa"/>
            </w:tcMar>
            <w:vAlign w:val="center"/>
          </w:tcPr>
          <w:p>
            <w:pPr>
              <w:spacing w:after="0"/>
            </w:pPr>
            <w:r>
              <w:rPr>
                <w:rFonts w:ascii="Calibri" w:hAnsi="Calibri"/>
                <w:color w:val="19222D"/>
                <w:sz w:val="19"/>
              </w:rPr>
              <w:t>At least one written quote and documented price reasonableness.</w:t>
            </w:r>
          </w:p>
        </w:tc>
        <w:tc>
          <w:tcPr>
            <w:tcW w:type="dxa" w:w="2160"/>
            <w:tcMar>
              <w:top w:w="80" w:type="dxa"/>
              <w:start w:w="120" w:type="dxa"/>
              <w:bottom w:w="80" w:type="dxa"/>
              <w:end w:w="120" w:type="dxa"/>
            </w:tcMar>
            <w:vAlign w:val="center"/>
          </w:tcPr>
          <w:p>
            <w:pPr>
              <w:spacing w:after="0"/>
            </w:pPr>
            <w:r>
              <w:rPr>
                <w:rFonts w:ascii="Calibri" w:hAnsi="Calibri"/>
                <w:color w:val="19222D"/>
                <w:sz w:val="19"/>
              </w:rPr>
              <w:t>Budget owner</w:t>
            </w:r>
          </w:p>
        </w:tc>
      </w:tr>
      <w:tr>
        <w:tc>
          <w:tcPr>
            <w:tcW w:type="dxa" w:w="2088"/>
            <w:tcMar>
              <w:top w:w="80" w:type="dxa"/>
              <w:start w:w="120" w:type="dxa"/>
              <w:bottom w:w="80" w:type="dxa"/>
              <w:end w:w="120" w:type="dxa"/>
            </w:tcMar>
            <w:vAlign w:val="center"/>
          </w:tcPr>
          <w:p>
            <w:pPr>
              <w:spacing w:after="0"/>
            </w:pPr>
            <w:r>
              <w:rPr>
                <w:rFonts w:ascii="Calibri" w:hAnsi="Calibri"/>
                <w:color w:val="19222D"/>
                <w:sz w:val="19"/>
              </w:rPr>
              <w:t>25,001 - 100,000</w:t>
            </w:r>
          </w:p>
        </w:tc>
        <w:tc>
          <w:tcPr>
            <w:tcW w:type="dxa" w:w="5112"/>
            <w:tcMar>
              <w:top w:w="80" w:type="dxa"/>
              <w:start w:w="120" w:type="dxa"/>
              <w:bottom w:w="80" w:type="dxa"/>
              <w:end w:w="120" w:type="dxa"/>
            </w:tcMar>
            <w:vAlign w:val="center"/>
          </w:tcPr>
          <w:p>
            <w:pPr>
              <w:spacing w:after="0"/>
            </w:pPr>
            <w:r>
              <w:rPr>
                <w:rFonts w:ascii="Calibri" w:hAnsi="Calibri"/>
                <w:color w:val="19222D"/>
                <w:sz w:val="19"/>
              </w:rPr>
              <w:t>Minimum three comparable quotations or approved supplier panel.</w:t>
            </w:r>
          </w:p>
        </w:tc>
        <w:tc>
          <w:tcPr>
            <w:tcW w:type="dxa" w:w="2160"/>
            <w:tcMar>
              <w:top w:w="80" w:type="dxa"/>
              <w:start w:w="120" w:type="dxa"/>
              <w:bottom w:w="80" w:type="dxa"/>
              <w:end w:w="120" w:type="dxa"/>
            </w:tcMar>
            <w:vAlign w:val="center"/>
          </w:tcPr>
          <w:p>
            <w:pPr>
              <w:spacing w:after="0"/>
            </w:pPr>
            <w:r>
              <w:rPr>
                <w:rFonts w:ascii="Calibri" w:hAnsi="Calibri"/>
                <w:color w:val="19222D"/>
                <w:sz w:val="19"/>
              </w:rPr>
              <w:t>Department head + finance</w:t>
            </w:r>
          </w:p>
        </w:tc>
      </w:tr>
      <w:tr>
        <w:tc>
          <w:tcPr>
            <w:tcW w:type="dxa" w:w="2088"/>
            <w:tcMar>
              <w:top w:w="80" w:type="dxa"/>
              <w:start w:w="120" w:type="dxa"/>
              <w:bottom w:w="80" w:type="dxa"/>
              <w:end w:w="120" w:type="dxa"/>
            </w:tcMar>
            <w:vAlign w:val="center"/>
          </w:tcPr>
          <w:p>
            <w:pPr>
              <w:spacing w:after="0"/>
            </w:pPr>
            <w:r>
              <w:rPr>
                <w:rFonts w:ascii="Calibri" w:hAnsi="Calibri"/>
                <w:color w:val="19222D"/>
                <w:sz w:val="19"/>
              </w:rPr>
              <w:t>100,001 - 500,000</w:t>
            </w:r>
          </w:p>
        </w:tc>
        <w:tc>
          <w:tcPr>
            <w:tcW w:type="dxa" w:w="5112"/>
            <w:tcMar>
              <w:top w:w="80" w:type="dxa"/>
              <w:start w:w="120" w:type="dxa"/>
              <w:bottom w:w="80" w:type="dxa"/>
              <w:end w:w="120" w:type="dxa"/>
            </w:tcMar>
            <w:vAlign w:val="center"/>
          </w:tcPr>
          <w:p>
            <w:pPr>
              <w:spacing w:after="0"/>
            </w:pPr>
            <w:r>
              <w:rPr>
                <w:rFonts w:ascii="Calibri" w:hAnsi="Calibri"/>
                <w:color w:val="19222D"/>
                <w:sz w:val="19"/>
              </w:rPr>
              <w:t>Formal RFQ/RFP, weighted evaluation, and procurement review.</w:t>
            </w:r>
          </w:p>
        </w:tc>
        <w:tc>
          <w:tcPr>
            <w:tcW w:type="dxa" w:w="2160"/>
            <w:tcMar>
              <w:top w:w="80" w:type="dxa"/>
              <w:start w:w="120" w:type="dxa"/>
              <w:bottom w:w="80" w:type="dxa"/>
              <w:end w:w="120" w:type="dxa"/>
            </w:tcMar>
            <w:vAlign w:val="center"/>
          </w:tcPr>
          <w:p>
            <w:pPr>
              <w:spacing w:after="0"/>
            </w:pPr>
            <w:r>
              <w:rPr>
                <w:rFonts w:ascii="Calibri" w:hAnsi="Calibri"/>
                <w:color w:val="19222D"/>
                <w:sz w:val="19"/>
              </w:rPr>
              <w:t>General manager / CEO</w:t>
            </w:r>
          </w:p>
        </w:tc>
      </w:tr>
      <w:tr>
        <w:tc>
          <w:tcPr>
            <w:tcW w:type="dxa" w:w="2088"/>
            <w:tcMar>
              <w:top w:w="80" w:type="dxa"/>
              <w:start w:w="120" w:type="dxa"/>
              <w:bottom w:w="80" w:type="dxa"/>
              <w:end w:w="120" w:type="dxa"/>
            </w:tcMar>
            <w:vAlign w:val="center"/>
          </w:tcPr>
          <w:p>
            <w:pPr>
              <w:spacing w:after="0"/>
            </w:pPr>
            <w:r>
              <w:rPr>
                <w:rFonts w:ascii="Calibri" w:hAnsi="Calibri"/>
                <w:color w:val="19222D"/>
                <w:sz w:val="19"/>
              </w:rPr>
              <w:t>Above 500,000</w:t>
            </w:r>
          </w:p>
        </w:tc>
        <w:tc>
          <w:tcPr>
            <w:tcW w:type="dxa" w:w="5112"/>
            <w:tcMar>
              <w:top w:w="80" w:type="dxa"/>
              <w:start w:w="120" w:type="dxa"/>
              <w:bottom w:w="80" w:type="dxa"/>
              <w:end w:w="120" w:type="dxa"/>
            </w:tcMar>
            <w:vAlign w:val="center"/>
          </w:tcPr>
          <w:p>
            <w:pPr>
              <w:spacing w:after="0"/>
            </w:pPr>
            <w:r>
              <w:rPr>
                <w:rFonts w:ascii="Calibri" w:hAnsi="Calibri"/>
                <w:color w:val="19222D"/>
                <w:sz w:val="19"/>
              </w:rPr>
              <w:t>Formal RFP, evaluation committee, legal review, and board/owner approval if outside budget.</w:t>
            </w:r>
          </w:p>
        </w:tc>
        <w:tc>
          <w:tcPr>
            <w:tcW w:type="dxa" w:w="2160"/>
            <w:tcMar>
              <w:top w:w="80" w:type="dxa"/>
              <w:start w:w="120" w:type="dxa"/>
              <w:bottom w:w="80" w:type="dxa"/>
              <w:end w:w="120" w:type="dxa"/>
            </w:tcMar>
            <w:vAlign w:val="center"/>
          </w:tcPr>
          <w:p>
            <w:pPr>
              <w:spacing w:after="0"/>
            </w:pPr>
            <w:r>
              <w:rPr>
                <w:rFonts w:ascii="Calibri" w:hAnsi="Calibri"/>
                <w:color w:val="19222D"/>
                <w:sz w:val="19"/>
              </w:rPr>
              <w:t>CEO + board/owners</w:t>
            </w:r>
          </w:p>
        </w:tc>
      </w:tr>
    </w:tbl>
    <w:p/>
    <w:p>
      <w:pPr>
        <w:pStyle w:val="Heading1"/>
      </w:pPr>
      <w:r>
        <w:t>5. Exceptions and Sole Source</w:t>
      </w:r>
    </w:p>
    <w:p>
      <w:r>
        <w:t>A sole-source purchase may be used only where there is a documented business reason such as compatibility, emergency continuity, proprietary service, warranty preservation, or genuine market limitation. The requester must complete a justification memo stating the reason, value, duration, market check performed, and proposed mitigation.</w:t>
      </w:r>
    </w:p>
    <w:p>
      <w:r>
        <w:t>Emergency purchases that bypass standard quotation requirements are not subject to blanket retroactive approval. The requester must prepare an official Justification Note explaining the emergency, value, supplier selected, quotes bypassed, operational risk, and mitigation plan. The CEO/GM must sign the Justification Note within 48 hours of order placement, and the signed note must be retained in the procurement file before invoice payment is released.</w:t>
      </w:r>
    </w:p>
    <w:p>
      <w:pPr>
        <w:pStyle w:val="Heading1"/>
      </w:pPr>
      <w:r>
        <w:t>6. Ethical and Conflict Controls</w:t>
      </w:r>
    </w:p>
    <w:p>
      <w:pPr>
        <w:pStyle w:val="ListBullet"/>
        <w:spacing w:after="80"/>
      </w:pPr>
      <w:r>
        <w:t>Employees must disclose any personal, family, financial, or employment connection with a supplier before involvement in the process.</w:t>
      </w:r>
    </w:p>
    <w:p>
      <w:pPr>
        <w:pStyle w:val="ListBullet"/>
        <w:spacing w:after="80"/>
      </w:pPr>
      <w:r>
        <w:t>Gifts, hospitality, commissions, rebates, or side payments that could influence procurement decisions are prohibited.</w:t>
      </w:r>
    </w:p>
    <w:p>
      <w:pPr>
        <w:pStyle w:val="ListBullet"/>
        <w:spacing w:after="80"/>
      </w:pPr>
      <w:r>
        <w:t>Supplier meetings during competitive sourcing should be logged and, where material, the same information should be shared with all bidders.</w:t>
      </w:r>
    </w:p>
    <w:p>
      <w:pPr>
        <w:pStyle w:val="ListBullet"/>
        <w:spacing w:after="80"/>
      </w:pPr>
      <w:r>
        <w:t>Supplier bank-account changes require independent verification before payment master data is updated.</w:t>
      </w:r>
    </w:p>
    <w:p>
      <w:pPr>
        <w:pStyle w:val="Heading1"/>
      </w:pPr>
      <w:r>
        <w:t>7. Procurement Workflow</w:t>
      </w:r>
    </w:p>
    <w:p>
      <w:pPr>
        <w:pStyle w:val="ListNumber"/>
        <w:spacing w:after="80"/>
      </w:pPr>
      <w:r>
        <w:t>Requester raises a purchase requisition with specification, budget code, expected value, delivery date, and business justification.</w:t>
      </w:r>
    </w:p>
    <w:p>
      <w:pPr>
        <w:pStyle w:val="ListNumber"/>
        <w:spacing w:after="80"/>
      </w:pPr>
      <w:r>
        <w:t>Budget owner confirms budget availability and sourcing method according to the threshold table.</w:t>
      </w:r>
    </w:p>
    <w:p>
      <w:pPr>
        <w:pStyle w:val="ListNumber"/>
        <w:spacing w:after="80"/>
      </w:pPr>
      <w:r>
        <w:t>Procurement or delegated buyer conducts market approach, receives quotations/proposals, and records clarifications.</w:t>
      </w:r>
    </w:p>
    <w:p>
      <w:pPr>
        <w:pStyle w:val="ListNumber"/>
        <w:spacing w:after="80"/>
      </w:pPr>
      <w:r>
        <w:t>Evaluation is completed using objective criteria and retained with all quote/proposal evidence.</w:t>
      </w:r>
    </w:p>
    <w:p>
      <w:pPr>
        <w:pStyle w:val="ListNumber"/>
        <w:spacing w:after="80"/>
      </w:pPr>
      <w:r>
        <w:t>Approval is obtained under the Delegation of Authority Matrix before purchase order or contract signature.</w:t>
      </w:r>
    </w:p>
    <w:p>
      <w:pPr>
        <w:pStyle w:val="ListNumber"/>
        <w:spacing w:after="80"/>
      </w:pPr>
      <w:r>
        <w:t>Goods/services are received and accepted by a person other than the invoice approver where practical.</w:t>
      </w:r>
    </w:p>
    <w:p>
      <w:pPr>
        <w:pStyle w:val="ListNumber"/>
        <w:spacing w:after="80"/>
      </w:pPr>
      <w:r>
        <w:t>Finance pays only against matched PO/contract, receipt/service acceptance, VAT-compliant invoice where applicable, and approved supplier master data.</w:t>
      </w:r>
    </w:p>
    <w:p>
      <w:pPr>
        <w:pStyle w:val="Heading1"/>
      </w:pPr>
      <w:r>
        <w:t>8. Records Retention</w:t>
      </w:r>
    </w:p>
    <w:tbl>
      <w:tblPr>
        <w:tblStyle w:val="TableGrid"/>
        <w:tblW w:type="dxa" w:w="9360"/>
        <w:tblLayout w:type="fixed"/>
        <w:tblLook w:firstColumn="1" w:firstRow="1" w:lastColumn="0" w:lastRow="0" w:noHBand="0" w:noVBand="1" w:val="04A0"/>
        <w:jc w:val="center"/>
        <w:tblInd w:w="120" w:type="dxa"/>
      </w:tblPr>
      <w:tblGrid>
        <w:gridCol w:w="4680"/>
        <w:gridCol w:w="4680"/>
      </w:tblGrid>
      <w:tr>
        <w:trPr>
          <w:tblHeader w:val="true"/>
        </w:trPr>
        <w:tc>
          <w:tcPr>
            <w:tcW w:type="dxa" w:w="3744"/>
            <w:tcMar>
              <w:top w:w="80" w:type="dxa"/>
              <w:start w:w="120" w:type="dxa"/>
              <w:bottom w:w="80" w:type="dxa"/>
              <w:end w:w="120" w:type="dxa"/>
            </w:tcMar>
            <w:vAlign w:val="center"/>
            <w:shd w:fill="F2F4F7"/>
          </w:tcPr>
          <w:p>
            <w:pPr>
              <w:jc w:val="center"/>
            </w:pPr>
            <w:r>
              <w:rPr>
                <w:rFonts w:ascii="Calibri" w:hAnsi="Calibri"/>
                <w:b/>
                <w:color w:val="19222D"/>
                <w:sz w:val="20"/>
              </w:rPr>
              <w:t>Record</w:t>
            </w:r>
          </w:p>
        </w:tc>
        <w:tc>
          <w:tcPr>
            <w:tcW w:type="dxa" w:w="5616"/>
            <w:tcMar>
              <w:top w:w="80" w:type="dxa"/>
              <w:start w:w="120" w:type="dxa"/>
              <w:bottom w:w="80" w:type="dxa"/>
              <w:end w:w="120" w:type="dxa"/>
            </w:tcMar>
            <w:vAlign w:val="center"/>
            <w:shd w:fill="F2F4F7"/>
          </w:tcPr>
          <w:p>
            <w:pPr>
              <w:jc w:val="center"/>
            </w:pPr>
            <w:r>
              <w:rPr>
                <w:rFonts w:ascii="Calibri" w:hAnsi="Calibri"/>
                <w:b/>
                <w:color w:val="19222D"/>
                <w:sz w:val="20"/>
              </w:rPr>
              <w:t>Minimum Retention</w:t>
            </w:r>
          </w:p>
        </w:tc>
      </w:tr>
      <w:tr>
        <w:tc>
          <w:tcPr>
            <w:tcW w:type="dxa" w:w="3744"/>
            <w:tcMar>
              <w:top w:w="80" w:type="dxa"/>
              <w:start w:w="120" w:type="dxa"/>
              <w:bottom w:w="80" w:type="dxa"/>
              <w:end w:w="120" w:type="dxa"/>
            </w:tcMar>
            <w:vAlign w:val="center"/>
          </w:tcPr>
          <w:p>
            <w:pPr>
              <w:spacing w:after="0"/>
            </w:pPr>
            <w:r>
              <w:rPr>
                <w:rFonts w:ascii="Calibri" w:hAnsi="Calibri"/>
                <w:color w:val="19222D"/>
                <w:sz w:val="19"/>
              </w:rPr>
              <w:t>Supplier registration pack and due diligence</w:t>
            </w:r>
          </w:p>
        </w:tc>
        <w:tc>
          <w:tcPr>
            <w:tcW w:type="dxa" w:w="5616"/>
            <w:tcMar>
              <w:top w:w="80" w:type="dxa"/>
              <w:start w:w="120" w:type="dxa"/>
              <w:bottom w:w="80" w:type="dxa"/>
              <w:end w:w="120" w:type="dxa"/>
            </w:tcMar>
            <w:vAlign w:val="center"/>
          </w:tcPr>
          <w:p>
            <w:pPr>
              <w:spacing w:after="0"/>
            </w:pPr>
            <w:r>
              <w:rPr>
                <w:rFonts w:ascii="Calibri" w:hAnsi="Calibri"/>
                <w:color w:val="19222D"/>
                <w:sz w:val="19"/>
              </w:rPr>
              <w:t>Supplier life plus 6 years</w:t>
            </w:r>
          </w:p>
        </w:tc>
      </w:tr>
      <w:tr>
        <w:tc>
          <w:tcPr>
            <w:tcW w:type="dxa" w:w="3744"/>
            <w:tcMar>
              <w:top w:w="80" w:type="dxa"/>
              <w:start w:w="120" w:type="dxa"/>
              <w:bottom w:w="80" w:type="dxa"/>
              <w:end w:w="120" w:type="dxa"/>
            </w:tcMar>
            <w:vAlign w:val="center"/>
          </w:tcPr>
          <w:p>
            <w:pPr>
              <w:spacing w:after="0"/>
            </w:pPr>
            <w:r>
              <w:rPr>
                <w:rFonts w:ascii="Calibri" w:hAnsi="Calibri"/>
                <w:color w:val="19222D"/>
                <w:sz w:val="19"/>
              </w:rPr>
              <w:t>RFQ/RFP, bids, evaluation records, award recommendation</w:t>
            </w:r>
          </w:p>
        </w:tc>
        <w:tc>
          <w:tcPr>
            <w:tcW w:type="dxa" w:w="5616"/>
            <w:tcMar>
              <w:top w:w="80" w:type="dxa"/>
              <w:start w:w="120" w:type="dxa"/>
              <w:bottom w:w="80" w:type="dxa"/>
              <w:end w:w="120" w:type="dxa"/>
            </w:tcMar>
            <w:vAlign w:val="center"/>
          </w:tcPr>
          <w:p>
            <w:pPr>
              <w:spacing w:after="0"/>
            </w:pPr>
            <w:r>
              <w:rPr>
                <w:rFonts w:ascii="Calibri" w:hAnsi="Calibri"/>
                <w:color w:val="19222D"/>
                <w:sz w:val="19"/>
              </w:rPr>
              <w:t>6 years after award or cancellation</w:t>
            </w:r>
          </w:p>
        </w:tc>
      </w:tr>
      <w:tr>
        <w:tc>
          <w:tcPr>
            <w:tcW w:type="dxa" w:w="3744"/>
            <w:tcMar>
              <w:top w:w="80" w:type="dxa"/>
              <w:start w:w="120" w:type="dxa"/>
              <w:bottom w:w="80" w:type="dxa"/>
              <w:end w:w="120" w:type="dxa"/>
            </w:tcMar>
            <w:vAlign w:val="center"/>
          </w:tcPr>
          <w:p>
            <w:pPr>
              <w:spacing w:after="0"/>
            </w:pPr>
            <w:r>
              <w:rPr>
                <w:rFonts w:ascii="Calibri" w:hAnsi="Calibri"/>
                <w:color w:val="19222D"/>
                <w:sz w:val="19"/>
              </w:rPr>
              <w:t>Contracts, amendments, insurance, performance reports</w:t>
            </w:r>
          </w:p>
        </w:tc>
        <w:tc>
          <w:tcPr>
            <w:tcW w:type="dxa" w:w="5616"/>
            <w:tcMar>
              <w:top w:w="80" w:type="dxa"/>
              <w:start w:w="120" w:type="dxa"/>
              <w:bottom w:w="80" w:type="dxa"/>
              <w:end w:w="120" w:type="dxa"/>
            </w:tcMar>
            <w:vAlign w:val="center"/>
          </w:tcPr>
          <w:p>
            <w:pPr>
              <w:spacing w:after="0"/>
            </w:pPr>
            <w:r>
              <w:rPr>
                <w:rFonts w:ascii="Calibri" w:hAnsi="Calibri"/>
                <w:color w:val="19222D"/>
                <w:sz w:val="19"/>
              </w:rPr>
              <w:t>Contract life plus 6 years</w:t>
            </w:r>
          </w:p>
        </w:tc>
      </w:tr>
      <w:tr>
        <w:tc>
          <w:tcPr>
            <w:tcW w:type="dxa" w:w="3744"/>
            <w:tcMar>
              <w:top w:w="80" w:type="dxa"/>
              <w:start w:w="120" w:type="dxa"/>
              <w:bottom w:w="80" w:type="dxa"/>
              <w:end w:w="120" w:type="dxa"/>
            </w:tcMar>
            <w:vAlign w:val="center"/>
          </w:tcPr>
          <w:p>
            <w:pPr>
              <w:spacing w:after="0"/>
            </w:pPr>
            <w:r>
              <w:rPr>
                <w:rFonts w:ascii="Calibri" w:hAnsi="Calibri"/>
                <w:color w:val="19222D"/>
                <w:sz w:val="19"/>
              </w:rPr>
              <w:t>Purchase orders, invoices, delivery notes, payment approvals</w:t>
            </w:r>
          </w:p>
        </w:tc>
        <w:tc>
          <w:tcPr>
            <w:tcW w:type="dxa" w:w="5616"/>
            <w:tcMar>
              <w:top w:w="80" w:type="dxa"/>
              <w:start w:w="120" w:type="dxa"/>
              <w:bottom w:w="80" w:type="dxa"/>
              <w:end w:w="120" w:type="dxa"/>
            </w:tcMar>
            <w:vAlign w:val="center"/>
          </w:tcPr>
          <w:p>
            <w:pPr>
              <w:spacing w:after="0"/>
            </w:pPr>
            <w:r>
              <w:rPr>
                <w:rFonts w:ascii="Calibri" w:hAnsi="Calibri"/>
                <w:color w:val="19222D"/>
                <w:sz w:val="19"/>
              </w:rPr>
              <w:t>As required by UAE tax/accounting record retention; default 7 years</w:t>
            </w:r>
          </w:p>
        </w:tc>
      </w:tr>
      <w:tr>
        <w:tc>
          <w:tcPr>
            <w:tcW w:type="dxa" w:w="3744"/>
            <w:tcMar>
              <w:top w:w="80" w:type="dxa"/>
              <w:start w:w="120" w:type="dxa"/>
              <w:bottom w:w="80" w:type="dxa"/>
              <w:end w:w="120" w:type="dxa"/>
            </w:tcMar>
            <w:vAlign w:val="center"/>
          </w:tcPr>
          <w:p>
            <w:pPr>
              <w:spacing w:after="0"/>
            </w:pPr>
            <w:r>
              <w:rPr>
                <w:rFonts w:ascii="Calibri" w:hAnsi="Calibri"/>
                <w:color w:val="19222D"/>
                <w:sz w:val="19"/>
              </w:rPr>
              <w:t>Emergency purchase Justification Notes</w:t>
            </w:r>
          </w:p>
        </w:tc>
        <w:tc>
          <w:tcPr>
            <w:tcW w:type="dxa" w:w="5616"/>
            <w:tcMar>
              <w:top w:w="80" w:type="dxa"/>
              <w:start w:w="120" w:type="dxa"/>
              <w:bottom w:w="80" w:type="dxa"/>
              <w:end w:w="120" w:type="dxa"/>
            </w:tcMar>
            <w:vAlign w:val="center"/>
          </w:tcPr>
          <w:p>
            <w:pPr>
              <w:spacing w:after="0"/>
            </w:pPr>
            <w:r>
              <w:rPr>
                <w:rFonts w:ascii="Calibri" w:hAnsi="Calibri"/>
                <w:color w:val="19222D"/>
                <w:sz w:val="19"/>
              </w:rPr>
              <w:t>6 years after order placement or contract close-out, whichever is later</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D6978"/>
        <w:sz w:val="16"/>
      </w:rPr>
      <w:t>Adapt before use; obtain UAE legal/tax advice for regulated or high-risk procurement.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D6978"/>
        <w:sz w:val="18"/>
      </w:rPr>
      <w:t>SME Procurement Toolkit - UAE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