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9222D"/>
          <w:sz w:val="46"/>
        </w:rPr>
        <w:t>Vendor Registration Procedure</w:t>
      </w:r>
    </w:p>
    <w:p>
      <w:pPr>
        <w:spacing w:after="280"/>
      </w:pPr>
      <w:r>
        <w:rPr>
          <w:rFonts w:ascii="Calibri" w:hAnsi="Calibri"/>
          <w:color w:val="5D6978"/>
          <w:sz w:val="25"/>
        </w:rPr>
        <w:t>A controlled onboarding process for supplier due diligence, master-data setup, and periodic review.</w:t>
      </w:r>
    </w:p>
    <w:p>
      <w:pPr>
        <w:spacing w:after="240"/>
        <w:pBdr>
          <w:bottom w:val="single" w:sz="8" w:space="1" w:color="D7DBE2"/>
        </w:pBdr>
      </w:pPr>
    </w:p>
    <w:p>
      <w:pPr>
        <w:pStyle w:val="Heading1"/>
      </w:pPr>
      <w:r>
        <w:t>1. Objective</w:t>
      </w:r>
    </w:p>
    <w:p>
      <w:r>
        <w:t>To ensure suppliers are legitimate, capable, compliant, and properly approved before purchase orders or payments are issued.</w:t>
      </w:r>
    </w:p>
    <w:p>
      <w:pPr>
        <w:pStyle w:val="Heading1"/>
      </w:pPr>
      <w:r>
        <w:t>2. Required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9222D"/>
                <w:sz w:val="20"/>
              </w:rPr>
              <w:t>Document / Evidence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9222D"/>
                <w:sz w:val="20"/>
              </w:rPr>
              <w:t>Minimum Requirement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Trade licence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Valid UAE mainland/free-zone licence or foreign equivalent for overseas suppliers.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VAT registration / TRN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Required where UAE VAT applies; invoice details must match the registered entity.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Bank letter or cancelled cheque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Account name should match supplier legal name; any difference requires management approval.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Authorized signatory evidence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Power of attorney, establishment card, board authority, or signed company letter as appropriate.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Ownership / UBO declaration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Identify beneficial owners and any politically exposed persons where risk warrants.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Insurance certificates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Required for site work, professional services, logistics, construction, and other risk categories.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ICV Certification Status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Checkbox/status required: [ ] Certified  [ ] Not certified  [ ] In progress  [ ] Not applicable. Attach certificate where available.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Conflict and anti-bribery declaration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Supplier confirms no undisclosed conflict, kickback, or improper inducement.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Data/privacy/security questionnaire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Required where supplier processes company, employee, customer, payment, or IT data.</w:t>
            </w:r>
          </w:p>
        </w:tc>
      </w:tr>
    </w:tbl>
    <w:p/>
    <w:p>
      <w:pPr>
        <w:pStyle w:val="Heading1"/>
      </w:pPr>
      <w:r>
        <w:t>3. Registration Steps</w:t>
      </w:r>
    </w:p>
    <w:p>
      <w:pPr>
        <w:pStyle w:val="ListNumber"/>
        <w:spacing w:after="80"/>
      </w:pPr>
      <w:r>
        <w:t>Requester nominates a supplier and explains the business need, scope, expected spend, and preferred start date.</w:t>
      </w:r>
    </w:p>
    <w:p>
      <w:pPr>
        <w:pStyle w:val="ListNumber"/>
        <w:spacing w:after="80"/>
      </w:pPr>
      <w:r>
        <w:t>Supplier completes the registration form and submits required documents through the approved channel.</w:t>
      </w:r>
    </w:p>
    <w:p>
      <w:pPr>
        <w:pStyle w:val="ListNumber"/>
        <w:spacing w:after="80"/>
      </w:pPr>
      <w:r>
        <w:t>Procurement or finance checks document completeness, trade licence validity, VAT/TRN details, and bank information.</w:t>
      </w:r>
    </w:p>
    <w:p>
      <w:pPr>
        <w:pStyle w:val="ListNumber"/>
        <w:spacing w:after="80"/>
      </w:pPr>
      <w:r>
        <w:t>Risk screening is performed based on spend, category, jurisdiction, access to data, site activity, and criticality.</w:t>
      </w:r>
    </w:p>
    <w:p>
      <w:pPr>
        <w:pStyle w:val="ListNumber"/>
        <w:spacing w:after="80"/>
      </w:pPr>
      <w:r>
        <w:t>Approver reviews the supplier profile, risk notes, and any exceptions before master-data creation.</w:t>
      </w:r>
    </w:p>
    <w:p>
      <w:pPr>
        <w:pStyle w:val="ListNumber"/>
        <w:spacing w:after="80"/>
      </w:pPr>
      <w:r>
        <w:t>Finance creates the vendor record only after approval and stores supporting evidence in the supplier file.</w:t>
      </w:r>
    </w:p>
    <w:p>
      <w:pPr>
        <w:pStyle w:val="ListNumber"/>
        <w:spacing w:after="80"/>
      </w:pPr>
      <w:r>
        <w:t>Supplier is assigned a review date and category owner for ongoing monitoring.</w:t>
      </w:r>
    </w:p>
    <w:p>
      <w:pPr>
        <w:pStyle w:val="Heading1"/>
      </w:pPr>
      <w:r>
        <w:t>4. Risk-Based Review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9222D"/>
                <w:sz w:val="20"/>
              </w:rPr>
              <w:t>Risk Level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9222D"/>
                <w:sz w:val="20"/>
              </w:rPr>
              <w:t>Examples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9222D"/>
                <w:sz w:val="20"/>
              </w:rPr>
              <w:t>Review Frequency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Low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Stationery, low-value local services, one-time commodity purchases.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Every 3 years or before reactivation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Medium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Recurring services, outsourced support, standard IT tools, logistics.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Every 2 years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High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Critical operations, site access, sensitive data, regulated services, sole-source supplier.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222D"/>
                <w:sz w:val="19"/>
              </w:rPr>
              <w:t>Annually</w:t>
            </w:r>
          </w:p>
        </w:tc>
      </w:tr>
    </w:tbl>
    <w:p/>
    <w:p>
      <w:pPr>
        <w:pStyle w:val="Heading1"/>
      </w:pPr>
      <w:r>
        <w:t>5. Change Controls</w:t>
      </w:r>
    </w:p>
    <w:p>
      <w:pPr>
        <w:pStyle w:val="ListBullet"/>
        <w:spacing w:after="80"/>
      </w:pPr>
      <w:r>
        <w:t>Bank-account changes must be verified using an independent contact method already on file, not solely by reply email.</w:t>
      </w:r>
    </w:p>
    <w:p>
      <w:pPr>
        <w:pStyle w:val="ListBullet"/>
        <w:spacing w:after="80"/>
      </w:pPr>
      <w:r>
        <w:t>Expired trade licences, insurance, or VAT certificates should block new POs for high-risk categories until renewed.</w:t>
      </w:r>
    </w:p>
    <w:p>
      <w:pPr>
        <w:pStyle w:val="ListBullet"/>
        <w:spacing w:after="80"/>
      </w:pPr>
      <w:r>
        <w:t>Inactive suppliers should be suspended after 24 months without activity unless the category owner justifies retention.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D6978"/>
        <w:sz w:val="16"/>
      </w:rPr>
      <w:t>Adapt before use; obtain UAE legal/tax advice for regulated or high-risk procurement.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D6978"/>
        <w:sz w:val="18"/>
      </w:rPr>
      <w:t>SME Procurement Toolkit - UAE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