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9222D"/>
          <w:sz w:val="46"/>
        </w:rPr>
        <w:t>Request for Quotation (RFQ) Template</w:t>
      </w:r>
    </w:p>
    <w:p>
      <w:pPr>
        <w:spacing w:after="280"/>
      </w:pPr>
      <w:r>
        <w:rPr>
          <w:rFonts w:ascii="Calibri" w:hAnsi="Calibri"/>
          <w:color w:val="5D6978"/>
          <w:sz w:val="25"/>
        </w:rPr>
        <w:t>A ready-to-issue RFQ for straightforward, price-comparable purchases.</w:t>
      </w:r>
    </w:p>
    <w:p>
      <w:pPr>
        <w:spacing w:after="240"/>
        <w:pBdr>
          <w:bottom w:val="single" w:sz="8" w:space="1" w:color="D7DBE2"/>
        </w:pBdr>
      </w:pPr>
    </w:p>
    <w:p>
      <w:pPr>
        <w:pStyle w:val="Heading1"/>
      </w:pPr>
      <w:r>
        <w:t>RFQ Header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Field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Details to Complete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RFQ title / reference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[Insert title and unique reference number]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Buyer entity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[Legal company name, address, TRN if required]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Contact person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[Name, email, phone]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Issue date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[DD MMM YYYY]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Quotation deadline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[Date and UAE time]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Expected award date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[DD MMM YYYY]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Delivery / service location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[Address, site restrictions, access requirements]</w:t>
            </w:r>
          </w:p>
        </w:tc>
      </w:tr>
    </w:tbl>
    <w:p/>
    <w:p>
      <w:pPr>
        <w:pStyle w:val="Heading1"/>
      </w:pPr>
      <w:r>
        <w:t>1. Requirement</w:t>
      </w:r>
    </w:p>
    <w:p>
      <w:r>
        <w:t>Supplier shall quote for the following goods/services. Pricing must be firm for at least [30/60/90] days unless stated otherwise.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Line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Description / Specification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Qty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Unit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Delivery Date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Unit Price AED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Total AED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[Item/service]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 ]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 ]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[Item/service]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 ]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 ]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[Item/service]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 ]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 ]</w:t>
            </w:r>
          </w:p>
        </w:tc>
      </w:tr>
    </w:tbl>
    <w:p/>
    <w:p>
      <w:pPr>
        <w:pStyle w:val="Heading1"/>
      </w:pPr>
      <w:r>
        <w:t>2. Supplier Response Requirements</w:t>
      </w:r>
    </w:p>
    <w:p>
      <w:pPr>
        <w:pStyle w:val="ListBullet"/>
        <w:spacing w:after="80"/>
      </w:pPr>
      <w:r>
        <w:t>Quote in AED unless another currency is approved.</w:t>
      </w:r>
    </w:p>
    <w:p>
      <w:pPr>
        <w:pStyle w:val="ListBullet"/>
        <w:spacing w:after="80"/>
      </w:pPr>
      <w:r>
        <w:t>State VAT separately and confirm whether the supplier is VAT registered in the UAE.</w:t>
      </w:r>
    </w:p>
    <w:p>
      <w:pPr>
        <w:pStyle w:val="ListBullet"/>
        <w:spacing w:after="80"/>
      </w:pPr>
      <w:r>
        <w:t>Confirm lead time, warranty, validity, payment terms, delivery terms, and any exclusions.</w:t>
      </w:r>
    </w:p>
    <w:p>
      <w:pPr>
        <w:pStyle w:val="ListBullet"/>
        <w:spacing w:after="80"/>
      </w:pPr>
      <w:r>
        <w:t>Attach product datasheets, company profile, licences, and relevant certifications if requested.</w:t>
      </w:r>
    </w:p>
    <w:p>
      <w:pPr>
        <w:pStyle w:val="ListBullet"/>
        <w:spacing w:after="80"/>
      </w:pPr>
      <w:r>
        <w:t>Confirm acceptance of the buyer's standard terms or list specific deviations.</w:t>
      </w:r>
    </w:p>
    <w:p>
      <w:pPr>
        <w:pStyle w:val="Heading1"/>
      </w:pPr>
      <w:r>
        <w:t>3. Evaluation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Criterion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Indicative Weight</w:t>
            </w:r>
          </w:p>
        </w:tc>
      </w:tr>
      <w:tr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Price / total cost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50%</w:t>
            </w:r>
          </w:p>
        </w:tc>
      </w:tr>
      <w:tr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Compliance with specification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25%</w:t>
            </w:r>
          </w:p>
        </w:tc>
      </w:tr>
      <w:tr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Delivery lead time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15%</w:t>
            </w:r>
          </w:p>
        </w:tc>
      </w:tr>
      <w:tr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Warranty / after-sales support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10%</w:t>
            </w:r>
          </w:p>
        </w:tc>
      </w:tr>
    </w:tbl>
    <w:p/>
    <w:p>
      <w:pPr>
        <w:pStyle w:val="Heading1"/>
      </w:pPr>
      <w:r>
        <w:t>4. Commercial Conditions</w:t>
      </w:r>
    </w:p>
    <w:p>
      <w:pPr>
        <w:pStyle w:val="ListBullet"/>
        <w:spacing w:after="80"/>
      </w:pPr>
      <w:r>
        <w:t>The buyer may accept or reject any quotation, negotiate, split award, or cancel the RFQ without liability.</w:t>
      </w:r>
    </w:p>
    <w:p>
      <w:pPr>
        <w:pStyle w:val="ListBullet"/>
        <w:spacing w:after="80"/>
      </w:pPr>
      <w:r>
        <w:t>No costs incurred by suppliers in preparing quotations are reimbursable.</w:t>
      </w:r>
    </w:p>
    <w:p>
      <w:pPr>
        <w:pStyle w:val="ListBullet"/>
        <w:spacing w:after="80"/>
      </w:pPr>
      <w:r>
        <w:t>Confidential RFQ information must not be shared outside the supplier's response team.</w:t>
      </w:r>
    </w:p>
    <w:p>
      <w:pPr>
        <w:pStyle w:val="ListBullet"/>
        <w:spacing w:after="80"/>
      </w:pPr>
      <w:r>
        <w:t>A purchase order or signed contract is required before the supplier commences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D6978"/>
        <w:sz w:val="16"/>
      </w:rPr>
      <w:t>Adapt before use; obtain UAE legal/tax advice for regulated or high-risk procurement.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D6978"/>
        <w:sz w:val="18"/>
      </w:rPr>
      <w:t>SME Procurement Toolkit - UAE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