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9222D"/>
          <w:sz w:val="46"/>
        </w:rPr>
        <w:t>Request for Proposal (RFP) Template</w:t>
      </w:r>
    </w:p>
    <w:p>
      <w:pPr>
        <w:spacing w:after="280"/>
      </w:pPr>
      <w:r>
        <w:rPr>
          <w:rFonts w:ascii="Calibri" w:hAnsi="Calibri"/>
          <w:color w:val="5D6978"/>
          <w:sz w:val="25"/>
        </w:rPr>
        <w:t>A structured RFP template for higher-value, complex, or service-led procurement.</w:t>
      </w:r>
    </w:p>
    <w:p>
      <w:pPr>
        <w:spacing w:after="240"/>
        <w:pBdr>
          <w:bottom w:val="single" w:sz="8" w:space="1" w:color="D7DBE2"/>
        </w:pBdr>
      </w:pPr>
    </w:p>
    <w:p>
      <w:pPr>
        <w:pStyle w:val="Heading1"/>
      </w:pPr>
      <w:r>
        <w:t>RFP Control Sheet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Field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Details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RFP title / reference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[Insert]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Buyer entity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 legal name and address]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Procurement lead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[Insert]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Issue 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[Insert]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Clarification deadline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 date and UAE time]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Submission deadline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 date and UAE time]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Shortlist / presentation 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 if applicable]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Expected contract start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[Insert]</w:t>
            </w:r>
          </w:p>
        </w:tc>
      </w:tr>
    </w:tbl>
    <w:p/>
    <w:p>
      <w:pPr>
        <w:pStyle w:val="Heading1"/>
      </w:pPr>
      <w:r>
        <w:t>1. Background and Objectives</w:t>
      </w:r>
    </w:p>
    <w:p>
      <w:r>
        <w:t>[Describe the business context, current challenges, desired outcomes, users/sites affected, and what success will look like.]</w:t>
      </w:r>
    </w:p>
    <w:p>
      <w:pPr>
        <w:pStyle w:val="Heading1"/>
      </w:pPr>
      <w:r>
        <w:t>2. Scope of Work</w:t>
      </w:r>
    </w:p>
    <w:p>
      <w:pPr>
        <w:pStyle w:val="ListBullet"/>
        <w:spacing w:after="80"/>
      </w:pPr>
      <w:r>
        <w:t>[Deliverable or service workstream 1]</w:t>
      </w:r>
    </w:p>
    <w:p>
      <w:pPr>
        <w:pStyle w:val="ListBullet"/>
        <w:spacing w:after="80"/>
      </w:pPr>
      <w:r>
        <w:t>[Deliverable or service workstream 2]</w:t>
      </w:r>
    </w:p>
    <w:p>
      <w:pPr>
        <w:pStyle w:val="ListBullet"/>
        <w:spacing w:after="80"/>
      </w:pPr>
      <w:r>
        <w:t>[Implementation, training, transition, or support requirements]</w:t>
      </w:r>
    </w:p>
    <w:p>
      <w:pPr>
        <w:pStyle w:val="ListBullet"/>
        <w:spacing w:after="80"/>
      </w:pPr>
      <w:r>
        <w:t>[Reporting, governance, SLAs, and acceptance criteria]</w:t>
      </w:r>
    </w:p>
    <w:p>
      <w:pPr>
        <w:pStyle w:val="Heading1"/>
      </w:pPr>
      <w:r>
        <w:t>3. Proposal Format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Section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Supplier Must Include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Executive summary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Understanding of requirement and proposed solution.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Company capability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Profile, UAE presence, trade licence, relevant experience, references.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Technical proposal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Methodology, implementation plan, resources, assumptions, service levels.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Commercial proposal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Price schedule, VAT, expenses, payment terms, escalation assumptions.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Legal and risk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Contract deviations, insurance, data/privacy/security approach, HSE if applicable.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Value add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Innovation, sustainability, ICV/local content, Emiratisation support, or efficiency ideas where relevant.</w:t>
            </w:r>
          </w:p>
        </w:tc>
      </w:tr>
    </w:tbl>
    <w:p/>
    <w:p>
      <w:pPr>
        <w:pStyle w:val="Heading1"/>
      </w:pPr>
      <w:r>
        <w:t>4. Evaluation Methodology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Criterion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Weight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Guidance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Technical fit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30%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Meets scope, methodology, quality, timeline, and acceptance needs.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Supplier capability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20%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Relevant experience, team, capacity, UAE/regional support.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Commercial value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25%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Total cost, pricing transparency, lifecycle cost, payment terms.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Risk and compliance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15%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Licensing, data/security, HSE, insurance, contractual risks.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Added value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10%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Continuous improvement, ESG, ICV/local content, service innovation.</w:t>
            </w:r>
          </w:p>
        </w:tc>
      </w:tr>
    </w:tbl>
    <w:p/>
    <w:p>
      <w:pPr>
        <w:pStyle w:val="Heading1"/>
      </w:pPr>
      <w:r>
        <w:t>5. Submission Instructions</w:t>
      </w:r>
    </w:p>
    <w:p>
      <w:pPr>
        <w:pStyle w:val="ListBullet"/>
        <w:spacing w:after="80"/>
      </w:pPr>
      <w:r>
        <w:t>Submit proposals by email to [email] with subject line [RFP reference]. Late submissions may be rejected.</w:t>
      </w:r>
    </w:p>
    <w:p>
      <w:pPr>
        <w:pStyle w:val="ListBullet"/>
        <w:spacing w:after="80"/>
      </w:pPr>
      <w:r>
        <w:t>Technical and commercial proposals should be separated if a two-envelope evaluation is used.</w:t>
      </w:r>
    </w:p>
    <w:p>
      <w:pPr>
        <w:pStyle w:val="ListBullet"/>
        <w:spacing w:after="80"/>
      </w:pPr>
      <w:r>
        <w:t>Questions must be submitted in writing before the clarification deadline. Responses may be shared with all bidders.</w:t>
      </w:r>
    </w:p>
    <w:p>
      <w:pPr>
        <w:pStyle w:val="ListBullet"/>
        <w:spacing w:after="80"/>
      </w:pPr>
      <w:r>
        <w:t>Supplier must disclose any conflict of interest and any use of subcontractors.</w:t>
      </w:r>
    </w:p>
    <w:p>
      <w:pPr>
        <w:pStyle w:val="Heading1"/>
      </w:pPr>
      <w:r>
        <w:t>6. Draft Contract Terms</w:t>
      </w:r>
    </w:p>
    <w:p>
      <w:pPr>
        <w:pStyle w:val="ListBullet"/>
        <w:spacing w:after="80"/>
      </w:pPr>
      <w:r>
        <w:t>Contract form: [PO terms / services agreement / master services agreement / framework agreement].</w:t>
      </w:r>
    </w:p>
    <w:p>
      <w:pPr>
        <w:pStyle w:val="ListBullet"/>
        <w:spacing w:after="80"/>
      </w:pPr>
      <w:r>
        <w:t>Term: [fixed term with renewal option].</w:t>
      </w:r>
    </w:p>
    <w:p>
      <w:pPr>
        <w:pStyle w:val="ListBullet"/>
        <w:spacing w:after="80"/>
      </w:pPr>
      <w:r>
        <w:t>Payment: linked to milestones, acceptance, and valid tax invoice.</w:t>
      </w:r>
    </w:p>
    <w:p>
      <w:pPr>
        <w:pStyle w:val="ListBullet"/>
        <w:spacing w:after="80"/>
      </w:pPr>
      <w:r>
        <w:t>Termination: convenience, cause, insolvency, compliance breach, and extended force majeure.</w:t>
      </w:r>
    </w:p>
    <w:p>
      <w:pPr>
        <w:pStyle w:val="ListBullet"/>
        <w:spacing w:after="80"/>
      </w:pPr>
      <w:r>
        <w:t>Liability, confidentiality, IP, data protection, dispute resolution, and governing law to be reviewed before award.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978"/>
        <w:sz w:val="16"/>
      </w:rPr>
      <w:t>Adapt before use; obtain UAE legal/tax advice for regulated or high-risk procurement.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D6978"/>
        <w:sz w:val="18"/>
      </w:rPr>
      <w:t>SME Procurement Toolkit - UAE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