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9222D"/>
          <w:sz w:val="46"/>
        </w:rPr>
        <w:t>Contract Management Procedure</w:t>
      </w:r>
    </w:p>
    <w:p>
      <w:pPr>
        <w:spacing w:after="280"/>
      </w:pPr>
      <w:r>
        <w:rPr>
          <w:rFonts w:ascii="Calibri" w:hAnsi="Calibri"/>
          <w:color w:val="5D6978"/>
          <w:sz w:val="25"/>
        </w:rPr>
        <w:t>Controls for drafting, review, approval, signature, implementation, renewal, and close-out.</w:t>
      </w:r>
    </w:p>
    <w:p>
      <w:pPr>
        <w:spacing w:after="240"/>
        <w:pBdr>
          <w:bottom w:val="single" w:sz="8" w:space="1" w:color="D7DBE2"/>
        </w:pBdr>
      </w:pPr>
    </w:p>
    <w:p>
      <w:pPr>
        <w:pStyle w:val="Heading1"/>
      </w:pPr>
      <w:r>
        <w:t>1. Objective</w:t>
      </w:r>
    </w:p>
    <w:p>
      <w:r>
        <w:t>To ensure procurement contracts are reviewed before signature, obligations are actively managed, renewals are visible, and supplier performance or risk issues are escalated early.</w:t>
      </w:r>
    </w:p>
    <w:p>
      <w:pPr>
        <w:pStyle w:val="Heading1"/>
      </w:pPr>
      <w:r>
        <w:t>2. Contract Lifecycle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9222D"/>
                <w:sz w:val="20"/>
              </w:rPr>
              <w:t>Stage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9222D"/>
                <w:sz w:val="20"/>
              </w:rPr>
              <w:t>Minimum Control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9222D"/>
                <w:sz w:val="20"/>
              </w:rPr>
              <w:t>Owner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Request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Confirm scope, budget, supplier selection route, and contract type.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Requester / procurement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Draft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Use approved template where available and include clear deliverables, pricing, VAT, acceptance, and SLA terms.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Procurement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Review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Legal review for non-standard, high-value, critical, data, IP, liability, or regulated contracts.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Legal / management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Approval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Obtain approval under DoA before signing or issuing PO.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Budget owner / CEO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Signature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Only authorized signatories may sign; electronic signature is acceptable if legally and operationally approved.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Authorized signatory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Mobilization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Hold kickoff, confirm contract owner, milestones, reporting, insurance, and access requirements.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Contract owner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Performance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Track KPIs, deliverables, invoices, claims, changes, risks, and supplier meetings.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Contract owner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Renewal/close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Review performance and market options before renewal; document handover and final acceptance at close.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Contract owner / procurement</w:t>
            </w:r>
          </w:p>
        </w:tc>
      </w:tr>
    </w:tbl>
    <w:p/>
    <w:p>
      <w:pPr>
        <w:pStyle w:val="Heading1"/>
      </w:pPr>
      <w:r>
        <w:t>3. Contract File Requirements</w:t>
      </w:r>
    </w:p>
    <w:p>
      <w:pPr>
        <w:pStyle w:val="ListBullet"/>
        <w:spacing w:after="80"/>
      </w:pPr>
      <w:r>
        <w:t>Final signed agreement, appendices, purchase orders, amendments, variation orders, and renewal notices.</w:t>
      </w:r>
    </w:p>
    <w:p>
      <w:pPr>
        <w:pStyle w:val="ListBullet"/>
        <w:spacing w:after="80"/>
      </w:pPr>
      <w:r>
        <w:t>Bid/RFQ/RFP documents, evaluation records, award recommendation, and approval evidence.</w:t>
      </w:r>
    </w:p>
    <w:p>
      <w:pPr>
        <w:pStyle w:val="ListBullet"/>
        <w:spacing w:after="80"/>
      </w:pPr>
      <w:r>
        <w:t>Supplier registration, trade licence, insurance, VAT/TRN, bank details, and due diligence records.</w:t>
      </w:r>
    </w:p>
    <w:p>
      <w:pPr>
        <w:pStyle w:val="ListBullet"/>
        <w:spacing w:after="80"/>
      </w:pPr>
      <w:r>
        <w:t>Key obligation register: deliverables, reports, warranties, termination dates, notice periods, SLAs, penalties/credits, and renewal options.</w:t>
      </w:r>
    </w:p>
    <w:p>
      <w:pPr>
        <w:pStyle w:val="ListBullet"/>
        <w:spacing w:after="80"/>
      </w:pPr>
      <w:r>
        <w:t>Performance reviews, service credits, claims, disputes, waivers, and close-out evidence.</w:t>
      </w:r>
    </w:p>
    <w:p>
      <w:pPr>
        <w:pStyle w:val="Heading1"/>
      </w:pPr>
      <w:r>
        <w:t>4. Change and Variation Management</w:t>
      </w:r>
    </w:p>
    <w:p>
      <w:pPr>
        <w:pStyle w:val="ListNumber"/>
        <w:spacing w:after="80"/>
      </w:pPr>
      <w:r>
        <w:t>Contract owner identifies the proposed scope, time, price, or risk change.</w:t>
      </w:r>
    </w:p>
    <w:p>
      <w:pPr>
        <w:pStyle w:val="ListNumber"/>
        <w:spacing w:after="80"/>
      </w:pPr>
      <w:r>
        <w:t>Supplier submits written variation proposal with pricing, schedule, assumptions, and impact on existing obligations.</w:t>
      </w:r>
    </w:p>
    <w:p>
      <w:pPr>
        <w:pStyle w:val="ListNumber"/>
        <w:spacing w:after="80"/>
      </w:pPr>
      <w:r>
        <w:t>Procurement/finance validates pricing and budget availability.</w:t>
      </w:r>
    </w:p>
    <w:p>
      <w:pPr>
        <w:pStyle w:val="ListNumber"/>
        <w:spacing w:after="80"/>
      </w:pPr>
      <w:r>
        <w:t>Legal or management reviews any change to liability, IP, data, termination, exclusivity, or governing law.</w:t>
      </w:r>
    </w:p>
    <w:p>
      <w:pPr>
        <w:pStyle w:val="ListNumber"/>
        <w:spacing w:after="80"/>
      </w:pPr>
      <w:r>
        <w:t>Approval is obtained under the DoA based on cumulative contract value after the variation.</w:t>
      </w:r>
    </w:p>
    <w:p>
      <w:pPr>
        <w:pStyle w:val="ListNumber"/>
        <w:spacing w:after="80"/>
      </w:pPr>
      <w:r>
        <w:t>Work proceeds only after a signed amendment, variation order, or approved PO change.</w:t>
      </w:r>
    </w:p>
    <w:p>
      <w:pPr>
        <w:pStyle w:val="Heading1"/>
      </w:pPr>
      <w:r>
        <w:t>5. Renewal and Termination Controls</w:t>
      </w:r>
    </w:p>
    <w:p>
      <w:pPr>
        <w:pStyle w:val="ListBullet"/>
        <w:spacing w:after="80"/>
      </w:pPr>
      <w:r>
        <w:t>Maintain a renewal calendar with alerts at least 90, 60, and 30 days before notice deadlines.</w:t>
      </w:r>
    </w:p>
    <w:p>
      <w:pPr>
        <w:pStyle w:val="ListBullet"/>
        <w:spacing w:after="80"/>
      </w:pPr>
      <w:r>
        <w:t>Do not auto-renew without performance review, budget confirmation, and market test or documented exemption.</w:t>
      </w:r>
    </w:p>
    <w:p>
      <w:pPr>
        <w:pStyle w:val="ListBullet"/>
        <w:spacing w:after="80"/>
      </w:pPr>
      <w:r>
        <w:t>For termination, confirm notice method, cure periods, data return, asset handover, final invoices, and continuity plan.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D6978"/>
        <w:sz w:val="16"/>
      </w:rPr>
      <w:t>Adapt before use; obtain UAE legal/tax advice for regulated or high-risk procurement.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D6978"/>
        <w:sz w:val="18"/>
      </w:rPr>
      <w:t>SME Procurement Toolkit - UAE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