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Calibri" w:hAnsi="Calibri"/>
          <w:b/>
          <w:i w:val="0"/>
          <w:color w:val="17324D"/>
          <w:sz w:val="48"/>
        </w:rPr>
        <w:t>Procurement Audit Package</w:t>
      </w:r>
    </w:p>
    <w:p>
      <w:pPr>
        <w:spacing w:after="240"/>
      </w:pPr>
      <w:r>
        <w:rPr>
          <w:rFonts w:ascii="Calibri" w:hAnsi="Calibri"/>
          <w:b w:val="0"/>
          <w:i/>
          <w:color w:val="5B6770"/>
          <w:sz w:val="24"/>
        </w:rPr>
        <w:t>Audit program, testing workflow, evidence expectations, and reporting guidance</w:t>
      </w:r>
    </w:p>
    <w:p>
      <w:pPr/>
      <w:r>
        <w:rPr>
          <w:rFonts w:ascii="Calibri" w:hAnsi="Calibri"/>
          <w:b w:val="0"/>
          <w:i w:val="0"/>
          <w:color w:val="1F2933"/>
          <w:sz w:val="22"/>
        </w:rPr>
        <w:t>This guide accompanies the Procurement Audit Workbook. It is designed for internal audit, finance, procurement, and compliance teams that need a structured way to plan fieldwork, test procurement controls, log evidence, and track remediation through closure.</w:t>
      </w:r>
    </w:p>
    <w:p>
      <w:pPr>
        <w:pStyle w:val="Heading1"/>
      </w:pPr>
      <w:r>
        <w:rPr>
          <w:rFonts w:ascii="Calibri" w:hAnsi="Calibri"/>
          <w:b/>
          <w:i w:val="0"/>
          <w:color w:val="2E74B5"/>
          <w:sz w:val="32"/>
        </w:rPr>
        <w:t>Package Contents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2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Component</w:t>
            </w:r>
          </w:p>
        </w:tc>
        <w:tc>
          <w:tcPr>
            <w:tcW w:type="dxa" w:w="540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Use</w:t>
            </w:r>
          </w:p>
        </w:tc>
        <w:tc>
          <w:tcPr>
            <w:tcW w:type="dxa" w:w="144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Primary Owner</w:t>
            </w:r>
          </w:p>
        </w:tc>
      </w:tr>
      <w:tr>
        <w:tc>
          <w:tcPr>
            <w:tcW w:type="dxa" w:w="252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Procurement_Audit_Workbook.xlsx</w:t>
            </w:r>
          </w:p>
        </w:tc>
        <w:tc>
          <w:tcPr>
            <w:tcW w:type="dxa" w:w="540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Working paper toolkit for audit program, population, sample, control testing, findings, evidence, and vendor risk.</w:t>
            </w:r>
          </w:p>
        </w:tc>
        <w:tc>
          <w:tcPr>
            <w:tcW w:type="dxa" w:w="144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Audit lead</w:t>
            </w:r>
          </w:p>
        </w:tc>
      </w:tr>
      <w:tr>
        <w:tc>
          <w:tcPr>
            <w:tcW w:type="dxa" w:w="252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Procurement_Audit_Guide.docx</w:t>
            </w:r>
          </w:p>
        </w:tc>
        <w:tc>
          <w:tcPr>
            <w:tcW w:type="dxa" w:w="540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Execution guide explaining how to scope, perform, document, review, and report the audit.</w:t>
            </w:r>
          </w:p>
        </w:tc>
        <w:tc>
          <w:tcPr>
            <w:tcW w:type="dxa" w:w="144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Audit manager</w:t>
            </w:r>
          </w:p>
        </w:tc>
      </w:tr>
    </w:tbl>
    <w:p>
      <w:pPr>
        <w:pStyle w:val="Heading1"/>
      </w:pPr>
      <w:r>
        <w:rPr>
          <w:rFonts w:ascii="Calibri" w:hAnsi="Calibri"/>
          <w:b/>
          <w:i w:val="0"/>
          <w:color w:val="2E74B5"/>
          <w:sz w:val="32"/>
        </w:rPr>
        <w:t>Audit Objectives</w:t>
      </w:r>
    </w:p>
    <w:p>
      <w:pPr>
        <w:pStyle w:val="ListBullet"/>
      </w:pPr>
      <w:r>
        <w:rPr>
          <w:rFonts w:ascii="Calibri" w:hAnsi="Calibri"/>
          <w:b w:val="0"/>
          <w:i w:val="0"/>
          <w:color w:val="1F2933"/>
          <w:sz w:val="22"/>
        </w:rPr>
        <w:t>Assess whether procurement transactions are authorized, supported, and compliant with policy and contracts.</w:t>
      </w:r>
    </w:p>
    <w:p>
      <w:pPr>
        <w:pStyle w:val="ListBullet"/>
      </w:pPr>
      <w:r>
        <w:rPr>
          <w:rFonts w:ascii="Calibri" w:hAnsi="Calibri"/>
          <w:b w:val="0"/>
          <w:i w:val="0"/>
          <w:color w:val="1F2933"/>
          <w:sz w:val="22"/>
        </w:rPr>
        <w:t>Verify vendor onboarding controls, due diligence, bank validation, and segregation of duties.</w:t>
      </w:r>
    </w:p>
    <w:p>
      <w:pPr>
        <w:pStyle w:val="ListBullet"/>
      </w:pPr>
      <w:r>
        <w:rPr>
          <w:rFonts w:ascii="Calibri" w:hAnsi="Calibri"/>
          <w:b w:val="0"/>
          <w:i w:val="0"/>
          <w:color w:val="1F2933"/>
          <w:sz w:val="22"/>
        </w:rPr>
        <w:t>Test purchase approval, three-way match, invoice payment, emergency purchase, and monitoring controls.</w:t>
      </w:r>
    </w:p>
    <w:p>
      <w:pPr>
        <w:pStyle w:val="ListBullet"/>
      </w:pPr>
      <w:r>
        <w:rPr>
          <w:rFonts w:ascii="Calibri" w:hAnsi="Calibri"/>
          <w:b w:val="0"/>
          <w:i w:val="0"/>
          <w:color w:val="1F2933"/>
          <w:sz w:val="22"/>
        </w:rPr>
        <w:t>Identify exceptions, rate their severity, and track management action plans to closure.</w:t>
      </w:r>
    </w:p>
    <w:p>
      <w:pPr>
        <w:pStyle w:val="Heading1"/>
      </w:pPr>
      <w:r>
        <w:rPr>
          <w:rFonts w:ascii="Calibri" w:hAnsi="Calibri"/>
          <w:b/>
          <w:i w:val="0"/>
          <w:color w:val="2E74B5"/>
          <w:sz w:val="32"/>
        </w:rPr>
        <w:t>Recommended Fieldwork Sequence</w:t>
      </w:r>
    </w:p>
    <w:p>
      <w:pPr>
        <w:pStyle w:val="ListNumber"/>
      </w:pPr>
      <w:r>
        <w:rPr>
          <w:rFonts w:ascii="Calibri" w:hAnsi="Calibri"/>
          <w:b w:val="0"/>
          <w:i w:val="0"/>
          <w:color w:val="1F2933"/>
          <w:sz w:val="22"/>
        </w:rPr>
        <w:t>Confirm scope, audit period, systems, procurement policy, approval matrix, and contract repository access.</w:t>
      </w:r>
    </w:p>
    <w:p>
      <w:pPr>
        <w:pStyle w:val="ListNumber"/>
      </w:pPr>
      <w:r>
        <w:rPr>
          <w:rFonts w:ascii="Calibri" w:hAnsi="Calibri"/>
          <w:b w:val="0"/>
          <w:i w:val="0"/>
          <w:color w:val="1F2933"/>
          <w:sz w:val="22"/>
        </w:rPr>
        <w:t>Obtain the procurement population and reconcile it to ERP/AP reports for completeness.</w:t>
      </w:r>
    </w:p>
    <w:p>
      <w:pPr>
        <w:pStyle w:val="ListNumber"/>
      </w:pPr>
      <w:r>
        <w:rPr>
          <w:rFonts w:ascii="Calibri" w:hAnsi="Calibri"/>
          <w:b w:val="0"/>
          <w:i w:val="0"/>
          <w:color w:val="1F2933"/>
          <w:sz w:val="22"/>
        </w:rPr>
        <w:t>Risk-rank vendors and transactions, then mark the selected sample in the workbook.</w:t>
      </w:r>
    </w:p>
    <w:p>
      <w:pPr>
        <w:pStyle w:val="ListNumber"/>
      </w:pPr>
      <w:r>
        <w:rPr>
          <w:rFonts w:ascii="Calibri" w:hAnsi="Calibri"/>
          <w:b w:val="0"/>
          <w:i w:val="0"/>
          <w:color w:val="1F2933"/>
          <w:sz w:val="22"/>
        </w:rPr>
        <w:t>Perform control testing and reference evidence by Evidence Ref rather than storing file paths in narrative notes.</w:t>
      </w:r>
    </w:p>
    <w:p>
      <w:pPr>
        <w:pStyle w:val="ListNumber"/>
      </w:pPr>
      <w:r>
        <w:rPr>
          <w:rFonts w:ascii="Calibri" w:hAnsi="Calibri"/>
          <w:b w:val="0"/>
          <w:i w:val="0"/>
          <w:color w:val="1F2933"/>
          <w:sz w:val="22"/>
        </w:rPr>
        <w:t>Discuss exceptions with process owners, convert validated exceptions to findings, and agree action owners and dates.</w:t>
      </w:r>
    </w:p>
    <w:p>
      <w:pPr>
        <w:pStyle w:val="ListNumber"/>
      </w:pPr>
      <w:r>
        <w:rPr>
          <w:rFonts w:ascii="Calibri" w:hAnsi="Calibri"/>
          <w:b w:val="0"/>
          <w:i w:val="0"/>
          <w:color w:val="1F2933"/>
          <w:sz w:val="22"/>
        </w:rPr>
        <w:t>Run the dashboard formulas and reconcile open issues before issuing the draft report.</w:t>
      </w:r>
    </w:p>
    <w:p>
      <w:pPr>
        <w:pStyle w:val="Heading1"/>
      </w:pPr>
      <w:r>
        <w:rPr>
          <w:rFonts w:ascii="Calibri" w:hAnsi="Calibri"/>
          <w:b/>
          <w:i w:val="0"/>
          <w:color w:val="2E74B5"/>
          <w:sz w:val="32"/>
        </w:rPr>
        <w:t>Core Procurement Control Tests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Area</w:t>
            </w:r>
          </w:p>
        </w:tc>
        <w:tc>
          <w:tcPr>
            <w:tcW w:type="dxa" w:w="438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What to Test</w:t>
            </w:r>
          </w:p>
        </w:tc>
        <w:tc>
          <w:tcPr>
            <w:tcW w:type="dxa" w:w="318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Typical Evidence</w:t>
            </w:r>
          </w:p>
        </w:tc>
      </w:tr>
      <w:tr>
        <w:tc>
          <w:tcPr>
            <w:tcW w:type="dxa" w:w="180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Vendor onboarding</w:t>
            </w:r>
          </w:p>
        </w:tc>
        <w:tc>
          <w:tcPr>
            <w:tcW w:type="dxa" w:w="43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Approval, documented UBO declaration, screening against active UAE/UN sanctions lists, tax documentation, bank account validation, conflict checks.</w:t>
            </w:r>
          </w:p>
        </w:tc>
        <w:tc>
          <w:tcPr>
            <w:tcW w:type="dxa" w:w="31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Vendor request, UBO declaration, UAE/UN sanctions screening result, tax form, bank validation, approver record.</w:t>
            </w:r>
          </w:p>
        </w:tc>
      </w:tr>
      <w:tr>
        <w:tc>
          <w:tcPr>
            <w:tcW w:type="dxa" w:w="180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Outsourced labor and long-term service suppliers</w:t>
            </w:r>
          </w:p>
        </w:tc>
        <w:tc>
          <w:tcPr>
            <w:tcW w:type="dxa" w:w="43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Verify that the contractor provides a valid MoHRE compliance certificate showing they are meeting active 2026 Emiratisation quotas, ensuring zero risk of sudden work permit suspensions or deployment disruptions.</w:t>
            </w:r>
          </w:p>
        </w:tc>
        <w:tc>
          <w:tcPr>
            <w:tcW w:type="dxa" w:w="31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Valid MoHRE compliance certificate, vendor risk assessment, contract or service scope, reviewer signoff.</w:t>
            </w:r>
          </w:p>
        </w:tc>
      </w:tr>
      <w:tr>
        <w:tc>
          <w:tcPr>
            <w:tcW w:type="dxa" w:w="180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PO approval</w:t>
            </w:r>
          </w:p>
        </w:tc>
        <w:tc>
          <w:tcPr>
            <w:tcW w:type="dxa" w:w="43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Approval before commitment, authority limit compliance, no self-approval.</w:t>
            </w:r>
          </w:p>
        </w:tc>
        <w:tc>
          <w:tcPr>
            <w:tcW w:type="dxa" w:w="31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Requisition, PO workflow, approval matrix, user role report.</w:t>
            </w:r>
          </w:p>
        </w:tc>
      </w:tr>
      <w:tr>
        <w:tc>
          <w:tcPr>
            <w:tcW w:type="dxa" w:w="180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Three-way match</w:t>
            </w:r>
          </w:p>
        </w:tc>
        <w:tc>
          <w:tcPr>
            <w:tcW w:type="dxa" w:w="43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PO, goods receipt, invoice quantity/price match; override approval retained.</w:t>
            </w:r>
          </w:p>
        </w:tc>
        <w:tc>
          <w:tcPr>
            <w:tcW w:type="dxa" w:w="31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PO, receipt/GRN, invoice, match exception report.</w:t>
            </w:r>
          </w:p>
        </w:tc>
      </w:tr>
      <w:tr>
        <w:tc>
          <w:tcPr>
            <w:tcW w:type="dxa" w:w="180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Contract compliance</w:t>
            </w:r>
          </w:p>
        </w:tc>
        <w:tc>
          <w:tcPr>
            <w:tcW w:type="dxa" w:w="43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Invoice pricing and terms agree to active contract or approved amendment.</w:t>
            </w:r>
          </w:p>
        </w:tc>
        <w:tc>
          <w:tcPr>
            <w:tcW w:type="dxa" w:w="31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Contract, amendments, price list, invoice support.</w:t>
            </w:r>
          </w:p>
        </w:tc>
      </w:tr>
      <w:tr>
        <w:tc>
          <w:tcPr>
            <w:tcW w:type="dxa" w:w="180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Payment controls</w:t>
            </w:r>
          </w:p>
        </w:tc>
        <w:tc>
          <w:tcPr>
            <w:tcW w:type="dxa" w:w="43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Payment run approval, duplicate checks, bank change verification, terms compliance.</w:t>
            </w:r>
          </w:p>
        </w:tc>
        <w:tc>
          <w:tcPr>
            <w:tcW w:type="dxa" w:w="318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Payment run package, duplicate report, bank change approval.</w:t>
            </w:r>
          </w:p>
        </w:tc>
      </w:tr>
    </w:tbl>
    <w:p>
      <w:pPr>
        <w:pStyle w:val="Heading1"/>
      </w:pPr>
      <w:r>
        <w:rPr>
          <w:rFonts w:ascii="Calibri" w:hAnsi="Calibri"/>
          <w:b/>
          <w:i w:val="0"/>
          <w:color w:val="2E74B5"/>
          <w:sz w:val="32"/>
        </w:rPr>
        <w:t>Sampling Guidance</w:t>
      </w:r>
    </w:p>
    <w:p>
      <w:pPr/>
      <w:r>
        <w:rPr>
          <w:rFonts w:ascii="Calibri" w:hAnsi="Calibri"/>
          <w:b w:val="0"/>
          <w:i w:val="0"/>
          <w:color w:val="1F2933"/>
          <w:sz w:val="22"/>
        </w:rPr>
        <w:t>Use risk-based sampling unless a formal statistical sample is required by the audit plan. Include high-value transactions, new vendors, manual overrides, single-source suppliers, emergency buys, contract renewals, and transactions near approval thresholds. For outsourced labor and long-term service suppliers, include every supplier supporting critical operations in the MoHRE compliance certificate check. Retain the population source, sample rationale, and any exclusions.</w:t>
      </w:r>
    </w:p>
    <w:p>
      <w:pPr>
        <w:pStyle w:val="Heading1"/>
      </w:pPr>
      <w:r>
        <w:rPr>
          <w:rFonts w:ascii="Calibri" w:hAnsi="Calibri"/>
          <w:b/>
          <w:i w:val="0"/>
          <w:color w:val="2E74B5"/>
          <w:sz w:val="32"/>
        </w:rPr>
        <w:t>Evidence Standards</w:t>
      </w:r>
    </w:p>
    <w:p>
      <w:pPr>
        <w:pStyle w:val="ListBullet"/>
      </w:pPr>
      <w:r>
        <w:rPr>
          <w:rFonts w:ascii="Calibri" w:hAnsi="Calibri"/>
          <w:b w:val="0"/>
          <w:i w:val="0"/>
          <w:color w:val="1F2933"/>
          <w:sz w:val="22"/>
        </w:rPr>
        <w:t>Every test result should cite an Evidence Ref from the Evidence Log.</w:t>
      </w:r>
    </w:p>
    <w:p>
      <w:pPr>
        <w:pStyle w:val="ListBullet"/>
      </w:pPr>
      <w:r>
        <w:rPr>
          <w:rFonts w:ascii="Calibri" w:hAnsi="Calibri"/>
          <w:b w:val="0"/>
          <w:i w:val="0"/>
          <w:color w:val="1F2933"/>
          <w:sz w:val="22"/>
        </w:rPr>
        <w:t>Evidence should be complete enough for an independent reviewer to reperform the conclusion.</w:t>
      </w:r>
    </w:p>
    <w:p>
      <w:pPr>
        <w:pStyle w:val="ListBullet"/>
      </w:pPr>
      <w:r>
        <w:rPr>
          <w:rFonts w:ascii="Calibri" w:hAnsi="Calibri"/>
          <w:b w:val="0"/>
          <w:i w:val="0"/>
          <w:color w:val="1F2933"/>
          <w:sz w:val="22"/>
        </w:rPr>
        <w:t>Screenshots should show date, transaction identifier, user/action where relevant, and source system context.</w:t>
      </w:r>
    </w:p>
    <w:p>
      <w:pPr>
        <w:pStyle w:val="ListBullet"/>
      </w:pPr>
      <w:r>
        <w:rPr>
          <w:rFonts w:ascii="Calibri" w:hAnsi="Calibri"/>
          <w:b w:val="0"/>
          <w:i w:val="0"/>
          <w:color w:val="1F2933"/>
          <w:sz w:val="22"/>
        </w:rPr>
        <w:t>Exceptions should distinguish missing evidence from control failure; both can matter, but they are not the same thing.</w:t>
      </w:r>
    </w:p>
    <w:p>
      <w:pPr>
        <w:pStyle w:val="Heading1"/>
      </w:pPr>
      <w:r>
        <w:rPr>
          <w:rFonts w:ascii="Calibri" w:hAnsi="Calibri"/>
          <w:b/>
          <w:i w:val="0"/>
          <w:color w:val="2E74B5"/>
          <w:sz w:val="32"/>
        </w:rPr>
        <w:t>Finding Severity Guide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32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Severity</w:t>
            </w:r>
          </w:p>
        </w:tc>
        <w:tc>
          <w:tcPr>
            <w:tcW w:type="dxa" w:w="552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When to Use</w:t>
            </w:r>
          </w:p>
        </w:tc>
        <w:tc>
          <w:tcPr>
            <w:tcW w:type="dxa" w:w="2520"/>
            <w:shd w:fill="E8EEF5"/>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i w:val="0"/>
                <w:color w:val="17324D"/>
                <w:sz w:val="20"/>
              </w:rPr>
              <w:t>Expected Response</w:t>
            </w:r>
          </w:p>
        </w:tc>
      </w:tr>
      <w:tr>
        <w:tc>
          <w:tcPr>
            <w:tcW w:type="dxa" w:w="132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Critical</w:t>
            </w:r>
          </w:p>
        </w:tc>
        <w:tc>
          <w:tcPr>
            <w:tcW w:type="dxa" w:w="5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Control failure could result in material loss, fraud, regulatory breach, or systemic unauthorized spend.</w:t>
            </w:r>
          </w:p>
        </w:tc>
        <w:tc>
          <w:tcPr>
            <w:tcW w:type="dxa" w:w="2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Immediate escalation, action plan, and executive owner.</w:t>
            </w:r>
          </w:p>
        </w:tc>
      </w:tr>
      <w:tr>
        <w:tc>
          <w:tcPr>
            <w:tcW w:type="dxa" w:w="132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High</w:t>
            </w:r>
          </w:p>
        </w:tc>
        <w:tc>
          <w:tcPr>
            <w:tcW w:type="dxa" w:w="5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Significant control gap, repeated exception, or high-risk vendor/transaction impact.</w:t>
            </w:r>
          </w:p>
        </w:tc>
        <w:tc>
          <w:tcPr>
            <w:tcW w:type="dxa" w:w="2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Management action plan with near-term due date.</w:t>
            </w:r>
          </w:p>
        </w:tc>
      </w:tr>
      <w:tr>
        <w:tc>
          <w:tcPr>
            <w:tcW w:type="dxa" w:w="132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Medium</w:t>
            </w:r>
          </w:p>
        </w:tc>
        <w:tc>
          <w:tcPr>
            <w:tcW w:type="dxa" w:w="5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Isolated or moderate weakness that could increase error or inefficiency risk.</w:t>
            </w:r>
          </w:p>
        </w:tc>
        <w:tc>
          <w:tcPr>
            <w:tcW w:type="dxa" w:w="2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Process owner remediation and follow-up evidence.</w:t>
            </w:r>
          </w:p>
        </w:tc>
      </w:tr>
      <w:tr>
        <w:tc>
          <w:tcPr>
            <w:tcW w:type="dxa" w:w="1320"/>
            <w:shd w:fill="F7F9FB"/>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Low</w:t>
            </w:r>
          </w:p>
        </w:tc>
        <w:tc>
          <w:tcPr>
            <w:tcW w:type="dxa" w:w="5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Housekeeping, documentation, or low-impact process improvement.</w:t>
            </w:r>
          </w:p>
        </w:tc>
        <w:tc>
          <w:tcPr>
            <w:tcW w:type="dxa" w:w="2520"/>
            <w:shd w:fill="FFFFFF"/>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r/>
            <w:r>
              <w:rPr>
                <w:rFonts w:ascii="Calibri" w:hAnsi="Calibri"/>
                <w:b w:val="0"/>
                <w:i w:val="0"/>
                <w:color w:val="1F2933"/>
                <w:sz w:val="19"/>
              </w:rPr>
              <w:t>Track to closure or combine in management letter.</w:t>
            </w:r>
          </w:p>
        </w:tc>
      </w:tr>
    </w:tbl>
    <w:p>
      <w:pPr>
        <w:pStyle w:val="Heading1"/>
      </w:pPr>
      <w:r>
        <w:rPr>
          <w:rFonts w:ascii="Calibri" w:hAnsi="Calibri"/>
          <w:b/>
          <w:i w:val="0"/>
          <w:color w:val="2E74B5"/>
          <w:sz w:val="32"/>
        </w:rPr>
        <w:t>Review and Signoff</w:t>
      </w:r>
    </w:p>
    <w:p>
      <w:pPr/>
      <w:r>
        <w:rPr>
          <w:rFonts w:ascii="Calibri" w:hAnsi="Calibri"/>
          <w:b w:val="0"/>
          <w:i w:val="0"/>
          <w:color w:val="1F2933"/>
          <w:sz w:val="22"/>
        </w:rPr>
        <w:t>Before reporting, the audit lead should confirm that all failed tests are explained, findings are linked to testing exceptions, severity is consistent, evidence is indexed, and open action plans have named owners and target dates. The audit manager should review the dashboard, findings register, and a sample of underlying evidence before issuing the draft report.</w:t>
      </w:r>
    </w:p>
    <w:p>
      <w:pPr>
        <w:pStyle w:val="Heading1"/>
      </w:pPr>
      <w:r>
        <w:rPr>
          <w:rFonts w:ascii="Calibri" w:hAnsi="Calibri"/>
          <w:b/>
          <w:i w:val="0"/>
          <w:color w:val="2E74B5"/>
          <w:sz w:val="32"/>
        </w:rPr>
        <w:t>Closeout Checklist</w:t>
      </w:r>
    </w:p>
    <w:p>
      <w:pPr>
        <w:pStyle w:val="ListBullet"/>
      </w:pPr>
      <w:r>
        <w:rPr>
          <w:rFonts w:ascii="Calibri" w:hAnsi="Calibri"/>
          <w:b w:val="0"/>
          <w:i w:val="0"/>
          <w:color w:val="1F2933"/>
          <w:sz w:val="22"/>
        </w:rPr>
        <w:t>Population source reconciled and retained.</w:t>
      </w:r>
    </w:p>
    <w:p>
      <w:pPr>
        <w:pStyle w:val="ListBullet"/>
      </w:pPr>
      <w:r>
        <w:rPr>
          <w:rFonts w:ascii="Calibri" w:hAnsi="Calibri"/>
          <w:b w:val="0"/>
          <w:i w:val="0"/>
          <w:color w:val="1F2933"/>
          <w:sz w:val="22"/>
        </w:rPr>
        <w:t>Sample rationale documented.</w:t>
      </w:r>
    </w:p>
    <w:p>
      <w:pPr>
        <w:pStyle w:val="ListBullet"/>
      </w:pPr>
      <w:r>
        <w:rPr>
          <w:rFonts w:ascii="Calibri" w:hAnsi="Calibri"/>
          <w:b w:val="0"/>
          <w:i w:val="0"/>
          <w:color w:val="1F2933"/>
          <w:sz w:val="22"/>
        </w:rPr>
        <w:t>Testing sheet complete for each selected item.</w:t>
      </w:r>
    </w:p>
    <w:p>
      <w:pPr>
        <w:pStyle w:val="ListBullet"/>
      </w:pPr>
      <w:r>
        <w:rPr>
          <w:rFonts w:ascii="Calibri" w:hAnsi="Calibri"/>
          <w:b w:val="0"/>
          <w:i w:val="0"/>
          <w:color w:val="1F2933"/>
          <w:sz w:val="22"/>
        </w:rPr>
        <w:t>Evidence log complete and review status updated.</w:t>
      </w:r>
    </w:p>
    <w:p>
      <w:pPr>
        <w:pStyle w:val="ListBullet"/>
      </w:pPr>
      <w:r>
        <w:rPr>
          <w:rFonts w:ascii="Calibri" w:hAnsi="Calibri"/>
          <w:b w:val="0"/>
          <w:i w:val="0"/>
          <w:color w:val="1F2933"/>
          <w:sz w:val="22"/>
        </w:rPr>
        <w:t>Findings validated with process owners.</w:t>
      </w:r>
    </w:p>
    <w:p>
      <w:pPr>
        <w:pStyle w:val="ListBullet"/>
      </w:pPr>
      <w:r>
        <w:rPr>
          <w:rFonts w:ascii="Calibri" w:hAnsi="Calibri"/>
          <w:b w:val="0"/>
          <w:i w:val="0"/>
          <w:color w:val="1F2933"/>
          <w:sz w:val="22"/>
        </w:rPr>
        <w:t>Management action plans include owner, target date, and closure evidence requirement.</w:t>
      </w:r>
    </w:p>
    <w:p>
      <w:pPr>
        <w:pStyle w:val="ListBullet"/>
      </w:pPr>
      <w:r>
        <w:rPr>
          <w:rFonts w:ascii="Calibri" w:hAnsi="Calibri"/>
          <w:b w:val="0"/>
          <w:i w:val="0"/>
          <w:color w:val="1F2933"/>
          <w:sz w:val="22"/>
        </w:rPr>
        <w:t>Dashboard reviewed for formula-driven consistency.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770"/>
        <w:sz w:val="18"/>
      </w:rPr>
      <w:t>Procurement Audit Package | Prepared 2026-06-13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