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324D"/>
          <w:sz w:val="48"/>
        </w:rPr>
        <w:t>Supplier Evaluation Toolkit</w:t>
      </w:r>
    </w:p>
    <w:p>
      <w:pPr>
        <w:spacing w:after="240"/>
      </w:pPr>
      <w:r>
        <w:rPr>
          <w:rFonts w:ascii="Calibri" w:hAnsi="Calibri"/>
          <w:color w:val="4B5563"/>
          <w:sz w:val="22"/>
        </w:rPr>
        <w:t>Procurement guide for fair, auditable supplier comparison, award recommendation, and post-award performance management.</w:t>
      </w:r>
    </w:p>
    <w:p>
      <w:pPr>
        <w:pStyle w:val="Heading1"/>
      </w:pPr>
      <w:r>
        <w:t>Purpose</w:t>
      </w:r>
    </w:p>
    <w:p>
      <w:r>
        <w:t>This toolkit gives procurement, finance, quality, operations, and legal teams a shared structure for comparing suppliers. It is designed to make award decisions evidence-based, explainable, and easy to revisit during renewals or performance reviews.</w:t>
      </w:r>
    </w:p>
    <w:p>
      <w:pPr>
        <w:pStyle w:val="Heading1"/>
      </w:pPr>
      <w:r>
        <w:t>Toolkit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Workbook Tab</w:t>
            </w:r>
          </w:p>
        </w:tc>
        <w:tc>
          <w:tcPr>
            <w:tcW w:type="dxa" w:w="68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Use It For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Dashboard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Executive snapshot of supplier count, average score, best supplier, rankings, and category score visuals.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Criteria Weights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Governance layer for category weights, minimum acceptable ratings, and scoring definitions.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Supplier Evaluation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Main scorecard where supplier ratings produce weighted scores, recommendations, critical pass/fail, and rank.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RFP Checklist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Evidence collection checklist for a consistent RFP process.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Risk Register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Supplier risk log with likelihood, impact, score, mitigation, owner, and status.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Performance Review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Quarterly KPI template for managing awarded suppliers after onboarding.</w:t>
            </w:r>
          </w:p>
        </w:tc>
      </w:tr>
    </w:tbl>
    <w:p>
      <w:pPr>
        <w:pStyle w:val="Heading1"/>
      </w:pPr>
      <w:r>
        <w:t>Mandatory RFP Upload Controls</w:t>
      </w:r>
    </w:p>
    <w:p>
      <w:r>
        <w:t>The RFP evidence pack should separate ownership, financial viability, and tax-registration checks into explicit upload or verification fields. These controls make reviewer sign-off traceable and prevent a generic compliance folder from hiding missing documents.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Control</w:t>
            </w:r>
          </w:p>
        </w:tc>
        <w:tc>
          <w:tcPr>
            <w:tcW w:type="dxa" w:w="367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Required Evidence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Review Purpose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UBO Declaration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Ultimate Beneficial Owner declaration identifying the natural persons who ultimately own or control the supplier.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Supports AML/KYC screening and protects the buyer from opaque ownership exposure.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IFRS-Compliant Audited Financials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Latest audited financial statements prepared on an IFRS-compliant basis.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Supports financial viability review under the UAE Corporate Tax environment; management accounts alone should not clear this control.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Valid TRN Check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Documented verification of the vendor's VAT Tax Registration Number on the Federal Tax Authority (FTA) portal before agreement issue.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Confirms VAT registration status and reduces tax-control defects before onboarding.</w:t>
            </w:r>
          </w:p>
        </w:tc>
      </w:tr>
    </w:tbl>
    <w:p>
      <w:pPr>
        <w:pStyle w:val="Heading1"/>
      </w:pPr>
      <w:r>
        <w:t>Recommended Workflow</w:t>
      </w:r>
    </w:p>
    <w:p>
      <w:pPr>
        <w:pStyle w:val="ListNumber"/>
        <w:spacing w:after="80"/>
        <w:ind w:left="540" w:hanging="271"/>
      </w:pPr>
      <w:r>
        <w:t>Confirm the sourcing scope, business requirements, non-negotiables, and supplier shortlist.</w:t>
      </w:r>
    </w:p>
    <w:p>
      <w:pPr>
        <w:pStyle w:val="ListNumber"/>
        <w:spacing w:after="80"/>
        <w:ind w:left="540" w:hanging="271"/>
      </w:pPr>
      <w:r>
        <w:t>Update the Criteria Weights tab before any supplier is scored, and keep the total weight at 100%.</w:t>
      </w:r>
    </w:p>
    <w:p>
      <w:pPr>
        <w:pStyle w:val="ListNumber"/>
        <w:spacing w:after="80"/>
        <w:ind w:left="540" w:hanging="271"/>
      </w:pPr>
      <w:r>
        <w:t>Use the RFP Checklist to collect pricing, quality, delivery, service, risk, ESG, compliance, and technical-fit evidence, including the mandatory UBO, audited financials, and TRN controls.</w:t>
      </w:r>
    </w:p>
    <w:p>
      <w:pPr>
        <w:pStyle w:val="ListNumber"/>
        <w:spacing w:after="80"/>
        <w:ind w:left="540" w:hanging="271"/>
      </w:pPr>
      <w:r>
        <w:t>Score each supplier from 1 to 5 using evidence, not preference. Add notes where ratings need context.</w:t>
      </w:r>
    </w:p>
    <w:p>
      <w:pPr>
        <w:pStyle w:val="ListNumber"/>
        <w:spacing w:after="80"/>
        <w:ind w:left="540" w:hanging="271"/>
      </w:pPr>
      <w:r>
        <w:t>Review automatic recommendations on the Dashboard, then challenge any supplier with a failed critical minimum.</w:t>
      </w:r>
    </w:p>
    <w:p>
      <w:pPr>
        <w:pStyle w:val="ListNumber"/>
        <w:spacing w:after="80"/>
        <w:ind w:left="540" w:hanging="271"/>
      </w:pPr>
      <w:r>
        <w:t>Record mitigation actions in the Risk Register and move post-award suppliers into the Performance Review tab.</w:t>
      </w:r>
    </w:p>
    <w:p>
      <w:pPr>
        <w:pStyle w:val="Heading1"/>
      </w:pPr>
      <w:r>
        <w:t>Scoring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Rating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Interpretation</w:t>
            </w:r>
          </w:p>
        </w:tc>
        <w:tc>
          <w:tcPr>
            <w:tcW w:type="dxa" w:w="5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Typical Evidence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Unacceptable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Material gap, failed audit, non-compliant response, or uncompetitive commercial position.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Weak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Below target and needs material mitigation before award.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Acceptable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Meets minimum requirement with manageable risk.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Strong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Exceeds requirement or demonstrates reliable advantage.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Excellent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Best-in-class evidence or strategic advantage.</w:t>
            </w:r>
          </w:p>
        </w:tc>
      </w:tr>
    </w:tbl>
    <w:p>
      <w:pPr>
        <w:pStyle w:val="Heading1"/>
      </w:pPr>
      <w:r>
        <w:t>Authority Checks Added to the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Category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Weight</w:t>
            </w:r>
          </w:p>
        </w:tc>
        <w:tc>
          <w:tcPr>
            <w:tcW w:type="dxa" w:w="53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Evidence Standard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ESG &amp; National Value (ICV)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10%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Verifies the supplier's MoIAT-certified ICV score and eligibility for the 2026 'Green ICV' bonus points. Score 1 if uncertified; score 3 if certified with standard score; score 5 if holding premium ICV + active carbon/waste reduction tracking.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Regulatory Alignment (MoHRE &amp; Dubai Law 5/2026)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10%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Audits workforce nationalization metrics. For Dubai contracts falling under Law No. 5 of 2026, the contractor must legally maintain an Emiratisation ratio of at least 1 UAE national for each non-national employee (1:1) within the outsourced project. Failure to evidence this triggers an automatic critical pass/fail block.</w:t>
            </w:r>
          </w:p>
        </w:tc>
      </w:tr>
    </w:tbl>
    <w:p>
      <w:pPr>
        <w:pStyle w:val="Heading1"/>
      </w:pPr>
      <w:r>
        <w:t>Governance Tips</w:t>
      </w:r>
    </w:p>
    <w:p>
      <w:pPr>
        <w:pStyle w:val="ListBullet"/>
        <w:spacing w:after="80"/>
        <w:ind w:left="540" w:hanging="271"/>
      </w:pPr>
      <w:r>
        <w:t>Lock weights before scoring and document any later change with the approver and reason.</w:t>
      </w:r>
    </w:p>
    <w:p>
      <w:pPr>
        <w:pStyle w:val="ListBullet"/>
        <w:spacing w:after="80"/>
        <w:ind w:left="540" w:hanging="271"/>
      </w:pPr>
      <w:r>
        <w:t>Use cross-functional scoring: procurement for commercial terms, quality for audit evidence, operations for delivery and capacity, legal/compliance for risk controls.</w:t>
      </w:r>
    </w:p>
    <w:p>
      <w:pPr>
        <w:pStyle w:val="ListBullet"/>
        <w:spacing w:after="80"/>
        <w:ind w:left="540" w:hanging="271"/>
      </w:pPr>
      <w:r>
        <w:t>Treat minimum acceptable ratings as gates. A high total score should not hide an unacceptable quality, compliance, or resilience risk.</w:t>
      </w:r>
    </w:p>
    <w:p>
      <w:pPr>
        <w:pStyle w:val="ListBullet"/>
        <w:spacing w:after="80"/>
        <w:ind w:left="540" w:hanging="271"/>
      </w:pPr>
      <w:r>
        <w:t>Require documentary evidence for MoIAT-certified ICV status, Green ICV eligibility, and MoHRE/Dubai Law 5/2026 nationalization obligations where applicable.</w:t>
      </w:r>
    </w:p>
    <w:p>
      <w:pPr>
        <w:pStyle w:val="ListBullet"/>
        <w:spacing w:after="80"/>
        <w:ind w:left="540" w:hanging="271"/>
      </w:pPr>
      <w:r>
        <w:t>Keep the supplier notes concise but audit-ready: cite evidence such as RFP response section, audit date, reference call, or contract exception.</w:t>
      </w:r>
    </w:p>
    <w:p>
      <w:pPr>
        <w:pStyle w:val="Heading1"/>
      </w:pPr>
      <w:r>
        <w:t>Award Recommendation Checklist</w:t>
      </w:r>
    </w:p>
    <w:p>
      <w:pPr>
        <w:pStyle w:val="ListBullet"/>
        <w:spacing w:after="80"/>
        <w:ind w:left="540" w:hanging="271"/>
      </w:pPr>
      <w:r>
        <w:t>Preferred supplier has the top score or a clearly documented business rationale for selection.</w:t>
      </w:r>
    </w:p>
    <w:p>
      <w:pPr>
        <w:pStyle w:val="ListBullet"/>
        <w:spacing w:after="80"/>
        <w:ind w:left="540" w:hanging="271"/>
      </w:pPr>
      <w:r>
        <w:t>Any watchlist supplier has named mitigations, owners, and due dates.</w:t>
      </w:r>
    </w:p>
    <w:p>
      <w:pPr>
        <w:pStyle w:val="ListBullet"/>
        <w:spacing w:after="80"/>
        <w:ind w:left="540" w:hanging="271"/>
      </w:pPr>
      <w:r>
        <w:t>Contract terms reflect critical supplier commitments, service levels, reporting, audit rights, and corrective-action triggers.</w:t>
      </w:r>
    </w:p>
    <w:p>
      <w:pPr>
        <w:pStyle w:val="ListBullet"/>
        <w:spacing w:after="80"/>
        <w:ind w:left="540" w:hanging="271"/>
      </w:pPr>
      <w:r>
        <w:t>Performance Review KPIs are agreed before onboarding begins.</w:t>
      </w:r>
    </w:p>
    <w:p>
      <w:pPr>
        <w:pStyle w:val="Heading1"/>
      </w:pPr>
      <w:r>
        <w:t>Common Customizations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Need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24D"/>
                <w:sz w:val="20"/>
              </w:rPr>
              <w:t>Adjustment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Strategic supplier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Increase Risk &amp; Resilience, Quality, and Innovation weights.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Commodity purchase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Increase Commercial and Delivery weights while keeping compliance gates intact.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Regulated category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Raise minimum acceptable ratings for Quality, Risk &amp; Resilience, and ESG &amp; Compliance.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Services contract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Expand Service and Performance Review KPIs to include response times, issue closure, and stakeholder satisfaction.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>Supplier Evaluation Toolkit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