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Metal Ledger &amp; Valuation Engine — Task Brief</w:t>
      </w:r>
    </w:p>
    <w:p>
      <w:pPr/>
      <w:r>
        <w:t xml:space="preserve">Oct 13, 2026</w:t>
      </w:r>
      <w:r>
        <w:t xml:space="preserve"> </w:t>
      </w:r>
    </w:p>
    <w:p>
      <w:pPr/>
      <w:r>
        <w:t xml:space="preserve">This module owns every weight, rate, valuation and metal balance in the Gold &amp; Silver Shop ERP. It has no screens of its own — the counter, the invoice and every report only re-present numbers it produces — so it is accepted on its rules, not its UI. Four tasks this week, plus the Day 1 question you were handed separately, which has to be settled before any bill can be trusted. The numbering follows the module spec, so Tasks 4 and 6 appear under Stretch goals.</w:t>
      </w:r>
    </w:p>
    <w:p>
      <w:pPr>
        <w:pStyle w:val="Heading2"/>
      </w:pPr>
      <w:r>
        <w:t xml:space="preserve">Scope</w:t>
      </w:r>
    </w:p>
    <w:p>
      <w:pPr/>
      <w:r>
        <w:t xml:space="preserve">This is a backend module. It answers questions; it does not ask them, and it draws nothing.</w:t>
      </w:r>
    </w:p>
    <w:p>
      <w:pPr/>
      <w:r>
        <w:t xml:space="preserve">It owns: unit and purity conversion, the rate book and its history, the record of every metal movement, party balances, stock valuation, and buy-back valuation. Karigar reconciliation and the zakat basis are stretch goals — do not build them, but do not design yourself into a corner where they cannot arrive later.</w:t>
      </w:r>
    </w:p>
    <w:p>
      <w:pPr/>
      <w:r>
        <w:t xml:space="preserve">It does not own: screens, tag and invoice printing, the weight machine, or the job that fetches rates off the internet. It owns what happens to a rate once that job hands one over — which rate is in force, and what happens when none arrived.</w:t>
      </w:r>
    </w:p>
    <w:p>
      <w:pPr/>
      <w:r>
        <w:t xml:space="preserve">It is built before the counter because everything downstream only re-presents its figures. A wrong number here is not a bug on a screen; it is a wrong number on a printed receipt in a customer's hand, in a trade where the customer can check the arithmetic.</w:t>
      </w:r>
    </w:p>
    <w:p>
      <w:pPr/>
      <w:r>
        <w:t xml:space="preserve">Every task below ends in a check the shop owner could run standing at the counter. That is the bar for "done" — not that the code runs, but that the owner can prove the rule holds.</w:t>
      </w:r>
    </w:p>
    <w:p>
      <w:pPr>
        <w:pStyle w:val="Heading2"/>
      </w:pPr>
      <w:r>
        <w:t xml:space="preserve">What to hand in</w:t>
      </w:r>
    </w:p>
    <w:p>
      <w:pPr>
        <w:pStyle w:val="ListParagraph"/>
        <w:numPr>
          <w:ilvl w:val="0"/>
          <w:numId w:val="2"/>
        </w:numPr>
      </w:pPr>
      <w:r>
        <w:rPr>
          <w:b/>
        </w:rPr>
        <w:t xml:space="preserve">A design note, on Day 1, before any code.</w:t>
      </w:r>
      <w:r>
        <w:t xml:space="preserve"> Your answer to the question at the end of this brief, the data model, the rounding policy for weight and money, and how each stretch goal lands without reshaping what you have built.</w:t>
      </w:r>
    </w:p>
    <w:p>
      <w:pPr>
        <w:pStyle w:val="ListParagraph"/>
        <w:numPr>
          <w:ilvl w:val="0"/>
          <w:numId w:val="2"/>
        </w:numPr>
      </w:pPr>
      <w:r>
        <w:rPr>
          <w:b/>
        </w:rPr>
        <w:t xml:space="preserve">The code, with tests.</w:t>
      </w:r>
      <w:r>
        <w:t xml:space="preserve"> The "Done when" line under each task is the baseline check, not the whole bar.</w:t>
      </w:r>
    </w:p>
    <w:p>
      <w:pPr>
        <w:pStyle w:val="ListParagraph"/>
        <w:numPr>
          <w:ilvl w:val="0"/>
          <w:numId w:val="2"/>
        </w:numPr>
      </w:pPr>
      <w:r>
        <w:rPr>
          <w:b/>
        </w:rPr>
        <w:t xml:space="preserve">A walkthrough at the end of the week.</w:t>
      </w:r>
      <w:r>
        <w:t xml:space="preserve"> Short, at a screen, on your own code: you talk through it and I ask questions.</w:t>
      </w:r>
    </w:p>
    <w:p>
      <w:pPr>
        <w:pStyle w:val="Heading2"/>
      </w:pPr>
      <w:r>
        <w:t xml:space="preserve">Task 1 — One language for weight and purity</w:t>
      </w:r>
    </w:p>
    <w:p>
      <w:pPr/>
      <w:r>
        <w:t xml:space="preserve">Any weight the shop speaks must mean exactly one thing, and two pieces of different purity must be comparable.</w:t>
      </w:r>
    </w:p>
    <w:p>
      <w:pPr>
        <w:pStyle w:val="ListParagraph"/>
        <w:numPr>
          <w:ilvl w:val="0"/>
          <w:numId w:val="3"/>
        </w:numPr>
      </w:pPr>
      <w:r>
        <w:t xml:space="preserve">Gram, tola, masha and ratti are one quantity written four ways: 1 tola = 12 masha, 1 masha = 8 ratti. The gram value of a tola is one configured number, set once — settle it with the owner, and from then on it is never retyped anywhere.</w:t>
      </w:r>
    </w:p>
    <w:p>
      <w:pPr>
        <w:pStyle w:val="ListParagraph"/>
        <w:numPr>
          <w:ilvl w:val="0"/>
          <w:numId w:val="3"/>
        </w:numPr>
      </w:pPr>
      <w:r>
        <w:t xml:space="preserve">A weight entered in any unit and read back in another returns the same quantity, both directions, every time. Nothing drifts from being converted twice.</w:t>
      </w:r>
    </w:p>
    <w:p>
      <w:pPr>
        <w:pStyle w:val="ListParagraph"/>
        <w:numPr>
          <w:ilvl w:val="0"/>
          <w:numId w:val="3"/>
        </w:numPr>
      </w:pPr>
      <w:r>
        <w:t xml:space="preserve">Purity turns a worn weight into pure-metal weight: a 10 g 22K chain is 9.167 g of pure gold, a 10 g 925 bar is 9.25 g of pure silver. Stock totals, karigar balances and zakat are added up in pure-metal weight — never by summing mixed-purity worn weights, which compares nothing.</w:t>
      </w:r>
    </w:p>
    <w:p>
      <w:pPr>
        <w:pStyle w:val="ListParagraph"/>
        <w:numPr>
          <w:ilvl w:val="0"/>
          <w:numId w:val="3"/>
        </w:numPr>
      </w:pPr>
      <w:r>
        <w:t xml:space="preserve">Gold and silver carry separate, owner-managed purity lists (FR-1). Adding "Gold 20K" next year is a data entry by the owner, not a job for a developer.</w:t>
      </w:r>
    </w:p>
    <w:p>
      <w:pPr>
        <w:pStyle w:val="ListParagraph"/>
        <w:numPr>
          <w:ilvl w:val="0"/>
          <w:numId w:val="3"/>
        </w:numPr>
      </w:pPr>
      <w:r>
        <w:t xml:space="preserve">Weight and money are exact to the agreed decimal place (G-4). Two cashiers billing the same item on the same day must reach the same figure to the paisa, and so must the same bill re-opened next year.</w:t>
      </w:r>
    </w:p>
    <w:p>
      <w:pPr/>
      <w:r>
        <w:rPr>
          <w:b/>
        </w:rPr>
        <w:t xml:space="preserve">Done when:</w:t>
      </w:r>
      <w:r>
        <w:t xml:space="preserve"> a 1 tola 22K item reads back identically in grams, masha and ratti and as 9.167 g pure; and a page of mixed-unit, mixed-purity items totals to the same figure whether the weights were keyed in grams or in tola.</w:t>
      </w:r>
    </w:p>
    <w:p>
      <w:pPr>
        <w:pStyle w:val="Heading2"/>
      </w:pPr>
      <w:r>
        <w:t xml:space="preserve">Task 2 — The rate book</w:t>
      </w:r>
    </w:p>
    <w:p>
      <w:pPr/>
      <w:r>
        <w:t xml:space="preserve">Every price in the system must trace back to one rate, for one metal and one purity, in force at one moment (FR-2).</w:t>
      </w:r>
    </w:p>
    <w:p>
      <w:pPr>
        <w:pStyle w:val="ListParagraph"/>
        <w:numPr>
          <w:ilvl w:val="0"/>
          <w:numId w:val="4"/>
        </w:numPr>
      </w:pPr>
      <w:r>
        <w:t xml:space="preserve">A rate entry states six things: metal, purity, the rate, the moment it takes effect, where it came from (morning fetch or Admin), and who entered it.</w:t>
      </w:r>
    </w:p>
    <w:p>
      <w:pPr>
        <w:pStyle w:val="ListParagraph"/>
        <w:numPr>
          <w:ilvl w:val="0"/>
          <w:numId w:val="4"/>
        </w:numPr>
      </w:pPr>
      <w:r>
        <w:t xml:space="preserve">Nothing is ever overwritten or deleted. A correction is a new entry taking effect later; the earlier one stays visible for ever. Full history is kept per metal-and-purity combination (FR-2).</w:t>
      </w:r>
    </w:p>
    <w:p>
      <w:pPr>
        <w:pStyle w:val="ListParagraph"/>
        <w:numPr>
          <w:ilvl w:val="0"/>
          <w:numId w:val="4"/>
        </w:numPr>
      </w:pPr>
      <w:r>
        <w:t xml:space="preserve">"What was the rate for Gold 22K on 3 October at 4 p.m.?" has exactly one answer, returned instantly, whether the book holds three weeks of history or five years.</w:t>
      </w:r>
    </w:p>
    <w:p>
      <w:pPr>
        <w:pStyle w:val="ListParagraph"/>
        <w:numPr>
          <w:ilvl w:val="0"/>
          <w:numId w:val="4"/>
        </w:numPr>
      </w:pPr>
      <w:r>
        <w:t xml:space="preserve">If no rate has arrived today, the last known rate is used and billing continues — it must never stop (FR-4). Every figure computed from it is marked stale, and the Admin is told which combinations are running on old rates.</w:t>
      </w:r>
    </w:p>
    <w:p>
      <w:pPr>
        <w:pStyle w:val="ListParagraph"/>
        <w:numPr>
          <w:ilvl w:val="0"/>
          <w:numId w:val="4"/>
        </w:numPr>
      </w:pPr>
      <w:r>
        <w:t xml:space="preserve">An Admin rate outranks a fetched rate for the same metal, purity and day. A later fetch must not quietly undo the owner's correction; it is offered to the Admin, not applied over the top. Without this, a 9 a.m. fetch, an 11 a.m. correction and a 1 p.m. retry silently erase the owner's decision.</w:t>
      </w:r>
    </w:p>
    <w:p>
      <w:pPr>
        <w:pStyle w:val="ListParagraph"/>
        <w:numPr>
          <w:ilvl w:val="0"/>
          <w:numId w:val="4"/>
        </w:numPr>
      </w:pPr>
      <w:r>
        <w:t xml:space="preserve">Buying and selling rates are separate figures for the same combination. A sale uses the selling rate, a buy-back the buying rate (Task 5).</w:t>
      </w:r>
    </w:p>
    <w:p>
      <w:pPr>
        <w:pStyle w:val="ListParagraph"/>
        <w:numPr>
          <w:ilvl w:val="0"/>
          <w:numId w:val="4"/>
        </w:numPr>
      </w:pPr>
      <w:r>
        <w:t xml:space="preserve">A purity with no rate of its own has to be decided, not left to chance: either derive it from the 24K or 999 rate by the purity ratio and label every figure that used a derived rate, or refuse to price the item until the owner enters one. A silently derived rate is a pricing error nobody can see.</w:t>
      </w:r>
    </w:p>
    <w:p>
      <w:pPr/>
      <w:r>
        <w:rPr>
          <w:b/>
        </w:rPr>
        <w:t xml:space="preserve">Done when:</w:t>
      </w:r>
      <w:r>
        <w:t xml:space="preserve"> a day with a 9 a.m. fetch, an 11 a.m. Admin correction and a 1 p.m. fetch leaves three entries in history and the 11 a.m. figure in force.</w:t>
      </w:r>
    </w:p>
    <w:p>
      <w:pPr>
        <w:pStyle w:val="Heading2"/>
      </w:pPr>
      <w:r>
        <w:t xml:space="preserve">Task 3 — The movement ledger</w:t>
      </w:r>
    </w:p>
    <w:p>
      <w:pPr/>
      <w:r>
        <w:t xml:space="preserve">One record shape for every gram that moves, whoever it moves to or from (FR-14, FR-15).</w:t>
      </w:r>
    </w:p>
    <w:p>
      <w:pPr>
        <w:pStyle w:val="ListParagraph"/>
        <w:numPr>
          <w:ilvl w:val="0"/>
          <w:numId w:val="5"/>
        </w:numPr>
      </w:pPr>
      <w:r>
        <w:t xml:space="preserve">A customer sale, a buy-back, raw metal issued to a karigar, a wholesaler purchase, a tola bought off another shopkeeper — all one shape: party, direction in or out, metal, purity, weight and its pure equivalent, the rate used, the money, the item, the date, who entered it, and which bill or document it belongs to (FR-15).</w:t>
      </w:r>
    </w:p>
    <w:p>
      <w:pPr>
        <w:pStyle w:val="ListParagraph"/>
        <w:numPr>
          <w:ilvl w:val="0"/>
          <w:numId w:val="5"/>
        </w:numPr>
      </w:pPr>
      <w:r>
        <w:t xml:space="preserve">A mistake from last week must be correctable, and FR-21's promise — reconstruct any day, see who touched what — must still hold once it has been: nothing already recorded can quietly change afterwards.</w:t>
      </w:r>
    </w:p>
    <w:p>
      <w:pPr>
        <w:pStyle w:val="ListParagraph"/>
        <w:numPr>
          <w:ilvl w:val="0"/>
          <w:numId w:val="5"/>
        </w:numPr>
      </w:pPr>
      <w:r>
        <w:t xml:space="preserve">Stock, party balances and valuations are answers worked out from these records. If a balance looks wrong, the records are wrong, and the records say who entered them and when.</w:t>
      </w:r>
    </w:p>
    <w:p>
      <w:pPr>
        <w:pStyle w:val="ListParagraph"/>
        <w:numPr>
          <w:ilvl w:val="0"/>
          <w:numId w:val="5"/>
        </w:numPr>
      </w:pPr>
      <w:r>
        <w:t xml:space="preserve">A party balance has two sides that are never netted into one number: metal owed, in pure-metal weight, and money owed. A karigar holding 45 g of the shop's pure gold while the shop owes him labour is two facts; collapsing them into one hides both.</w:t>
      </w:r>
    </w:p>
    <w:p>
      <w:pPr>
        <w:pStyle w:val="ListParagraph"/>
        <w:numPr>
          <w:ilvl w:val="0"/>
          <w:numId w:val="5"/>
        </w:numPr>
      </w:pPr>
      <w:r>
        <w:t xml:space="preserve">The same ledger view works identically for a customer, a karigar, a wholesaler, another shop or a company (FR-16). New party types are added by the owner without touching the ledger.</w:t>
      </w:r>
    </w:p>
    <w:p>
      <w:pPr/>
      <w:r>
        <w:rPr>
          <w:b/>
        </w:rPr>
        <w:t xml:space="preserve">Done when:</w:t>
      </w:r>
      <w:r>
        <w:t xml:space="preserve"> buying one tola from another shopkeeper goes down the same path as a customer sale, both parties' balances come out right with nothing reconciled by hand, a wrong entry from last week can be corrected without the original disappearing, and a party balance as at a past date returns the same figure when the same question is asked again a month and several hundred movements later.</w:t>
      </w:r>
    </w:p>
    <w:p>
      <w:pPr>
        <w:pStyle w:val="Heading2"/>
      </w:pPr>
      <w:r>
        <w:t xml:space="preserve">Task 5 — Buy-back valuation</w:t>
      </w:r>
    </w:p>
    <w:p>
      <w:pPr/>
      <w:r>
        <w:t xml:space="preserve">Gold coming back over the counter is gold being bought fresh today. It is never a sale being undone (FR-11 to FR-13, G-3).</w:t>
      </w:r>
    </w:p>
    <w:p>
      <w:pPr>
        <w:pStyle w:val="ListParagraph"/>
        <w:numPr>
          <w:ilvl w:val="0"/>
          <w:numId w:val="6"/>
        </w:numPr>
      </w:pPr>
      <w:r>
        <w:t xml:space="preserve">Anything a customer brings back is recorded as a purchase — direction in, party customer — whenever and wherever it was originally bought. There is no refund, reversal or undo anywhere in this module (FR-11).</w:t>
      </w:r>
    </w:p>
    <w:p>
      <w:pPr>
        <w:pStyle w:val="ListParagraph"/>
        <w:numPr>
          <w:ilvl w:val="0"/>
          <w:numId w:val="6"/>
        </w:numPr>
      </w:pPr>
      <w:r>
        <w:t xml:space="preserve">The piece goes back on the scale. Today's weight is the only weight used: not the tag weight, not the weight on the original bill, not even for the identical tagged piece brought back the same afternoon (FR-12). Items come back worn, resized, or with a stone missing.</w:t>
      </w:r>
    </w:p>
    <w:p>
      <w:pPr>
        <w:pStyle w:val="ListParagraph"/>
        <w:numPr>
          <w:ilvl w:val="0"/>
          <w:numId w:val="6"/>
        </w:numPr>
      </w:pPr>
      <w:r>
        <w:t xml:space="preserve">The value is today's buying rate for that metal and purity, less the deduction: the percentage set for that exact combination if one is set, otherwise the shop-wide default (FR-24a).</w:t>
      </w:r>
    </w:p>
    <w:p>
      <w:pPr>
        <w:pStyle w:val="ListParagraph"/>
        <w:numPr>
          <w:ilvl w:val="0"/>
          <w:numId w:val="6"/>
        </w:numPr>
      </w:pPr>
      <w:r>
        <w:t xml:space="preserve">The original sale price and weight cannot reach the valuation at all — not as a default, not as a starting figure, not behind a setting, not for an Admin (G-3). The original bill may sit beside the valuation as provenance, to confirm the piece came from this shop, and nothing more (FR-13).</w:t>
      </w:r>
    </w:p>
    <w:p>
      <w:pPr>
        <w:pStyle w:val="ListParagraph"/>
        <w:numPr>
          <w:ilvl w:val="0"/>
          <w:numId w:val="6"/>
        </w:numPr>
      </w:pPr>
      <w:r>
        <w:t xml:space="preserve">The figure explains itself in one line — weight, rate, deduction, result — because the cashier has to justify it to a customer who expected to get back what they paid.</w:t>
      </w:r>
    </w:p>
    <w:p>
      <w:pPr/>
      <w:r>
        <w:rPr>
          <w:b/>
        </w:rPr>
        <w:t xml:space="preserve">Done when:</w:t>
      </w:r>
      <w:r>
        <w:t xml:space="preserve"> the identical one-tola item brought back the same day values below what the customer paid, and no route through the module — override, correction, import, Admin screen — can produce the original sale price as a buy-back figure.</w:t>
      </w:r>
    </w:p>
    <w:p>
      <w:pPr>
        <w:pStyle w:val="Heading2"/>
      </w:pPr>
      <w:r>
        <w:t xml:space="preserve">Stretch goals</w:t>
      </w:r>
    </w:p>
    <w:p>
      <w:pPr/>
      <w:r>
        <w:t xml:space="preserve">Two parts of the module are out of scope for this week and in scope for your design. Do not build them. Do make sure the ledger and the rate book will not have to be reshaped when they arrive — say in your design note how each one lands.</w:t>
      </w:r>
    </w:p>
    <w:p>
      <w:pPr>
        <w:pStyle w:val="ListParagraph"/>
        <w:numPr>
          <w:ilvl w:val="0"/>
          <w:numId w:val="7"/>
        </w:numPr>
      </w:pPr>
      <w:r>
        <w:rPr>
          <w:b/>
        </w:rPr>
        <w:t xml:space="preserve">Karigar reconciliation (Task 6 in the spec).</w:t>
      </w:r>
      <w:r>
        <w:t xml:space="preserve"> Raw metal goes out at one purity and finished pieces come back at another, with scrap and declared cutting loss alongside. At any moment the owner has to know how much of the shop's metal is sitting with each karigar, and labour owed to him is money, not metal (FR-16, G-6).</w:t>
      </w:r>
    </w:p>
    <w:p>
      <w:pPr>
        <w:pStyle w:val="ListParagraph"/>
        <w:numPr>
          <w:ilvl w:val="0"/>
          <w:numId w:val="7"/>
        </w:numPr>
      </w:pPr>
      <w:r>
        <w:rPr>
          <w:b/>
        </w:rPr>
        <w:t xml:space="preserve">The zakat basis and historical reporting (Task 4 in the spec).</w:t>
      </w:r>
      <w:r>
        <w:t xml:space="preserve"> "What stock did I hold on 3 October, what was it worth, and what zakat does it carry?" — answerable from the record alone, with gold and silver checked against their own thresholds (FR-17, FR-18, FR-21).</w:t>
      </w:r>
    </w:p>
    <w:p>
      <w:pPr>
        <w:pStyle w:val="Heading2"/>
      </w:pPr>
      <w:r>
        <w:t xml:space="preserve">Requirements in scope</w:t>
      </w:r>
    </w:p>
    <w:p>
      <w:pPr/>
      <w:r>
        <w:t xml:space="preserve">These are the requirements your four tasks have to answer. Read each one in the PRD — the wording there is the requirement, and this table is only the index.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Task</w:t>
            </w:r>
          </w:p>
        </w:tc>
      </w:tr>
      <w:tr>
        <w:tc>
          <w:tcPr>
            <w:tcW w:w="4680" w:type="dxa"/>
          </w:tcPr>
          <w:p>
            <w:pPr/>
            <w:r>
              <w:t xml:space="preserve">FR-1</w:t>
            </w:r>
          </w:p>
        </w:tc>
        <w:tc>
          <w:tcPr>
            <w:tcW w:w="4680" w:type="dxa"/>
          </w:tcPr>
          <w:p>
            <w:pPr/>
            <w:r>
              <w:t xml:space="preserve">1</w:t>
            </w:r>
          </w:p>
        </w:tc>
      </w:tr>
      <w:tr>
        <w:tc>
          <w:tcPr>
            <w:tcW w:w="4680" w:type="dxa"/>
          </w:tcPr>
          <w:p>
            <w:pPr/>
            <w:r>
              <w:t xml:space="preserve">G-4</w:t>
            </w:r>
          </w:p>
        </w:tc>
        <w:tc>
          <w:tcPr>
            <w:tcW w:w="4680" w:type="dxa"/>
          </w:tcPr>
          <w:p>
            <w:pPr/>
            <w:r>
              <w:t xml:space="preserve">1</w:t>
            </w:r>
          </w:p>
        </w:tc>
      </w:tr>
      <w:tr>
        <w:tc>
          <w:tcPr>
            <w:tcW w:w="4680" w:type="dxa"/>
          </w:tcPr>
          <w:p>
            <w:pPr/>
            <w:r>
              <w:t xml:space="preserve">FR-2</w:t>
            </w:r>
          </w:p>
        </w:tc>
        <w:tc>
          <w:tcPr>
            <w:tcW w:w="4680" w:type="dxa"/>
          </w:tcPr>
          <w:p>
            <w:pPr/>
            <w:r>
              <w:t xml:space="preserve">2</w:t>
            </w:r>
          </w:p>
        </w:tc>
      </w:tr>
      <w:tr>
        <w:tc>
          <w:tcPr>
            <w:tcW w:w="4680" w:type="dxa"/>
          </w:tcPr>
          <w:p>
            <w:pPr/>
            <w:r>
              <w:t xml:space="preserve">FR-3, FR-4</w:t>
            </w:r>
          </w:p>
        </w:tc>
        <w:tc>
          <w:tcPr>
            <w:tcW w:w="4680" w:type="dxa"/>
          </w:tcPr>
          <w:p>
            <w:pPr/>
            <w:r>
              <w:t xml:space="preserve">2</w:t>
            </w:r>
          </w:p>
        </w:tc>
      </w:tr>
      <w:tr>
        <w:tc>
          <w:tcPr>
            <w:tcW w:w="4680" w:type="dxa"/>
          </w:tcPr>
          <w:p>
            <w:pPr/>
            <w:r>
              <w:t xml:space="preserve">G-2</w:t>
            </w:r>
          </w:p>
        </w:tc>
        <w:tc>
          <w:tcPr>
            <w:tcW w:w="4680" w:type="dxa"/>
          </w:tcPr>
          <w:p>
            <w:pPr/>
            <w:r>
              <w:t xml:space="preserve">2</w:t>
            </w:r>
          </w:p>
        </w:tc>
      </w:tr>
      <w:tr>
        <w:tc>
          <w:tcPr>
            <w:tcW w:w="4680" w:type="dxa"/>
          </w:tcPr>
          <w:p>
            <w:pPr/>
            <w:r>
              <w:t xml:space="preserve">FR-14</w:t>
            </w:r>
          </w:p>
        </w:tc>
        <w:tc>
          <w:tcPr>
            <w:tcW w:w="4680" w:type="dxa"/>
          </w:tcPr>
          <w:p>
            <w:pPr/>
            <w:r>
              <w:t xml:space="preserve">3</w:t>
            </w:r>
          </w:p>
        </w:tc>
      </w:tr>
      <w:tr>
        <w:tc>
          <w:tcPr>
            <w:tcW w:w="4680" w:type="dxa"/>
          </w:tcPr>
          <w:p>
            <w:pPr/>
            <w:r>
              <w:t xml:space="preserve">FR-15</w:t>
            </w:r>
          </w:p>
        </w:tc>
        <w:tc>
          <w:tcPr>
            <w:tcW w:w="4680" w:type="dxa"/>
          </w:tcPr>
          <w:p>
            <w:pPr/>
            <w:r>
              <w:t xml:space="preserve">3</w:t>
            </w:r>
          </w:p>
        </w:tc>
      </w:tr>
      <w:tr>
        <w:tc>
          <w:tcPr>
            <w:tcW w:w="4680" w:type="dxa"/>
          </w:tcPr>
          <w:p>
            <w:pPr/>
            <w:r>
              <w:t xml:space="preserve">FR-16</w:t>
            </w:r>
          </w:p>
        </w:tc>
        <w:tc>
          <w:tcPr>
            <w:tcW w:w="4680" w:type="dxa"/>
          </w:tcPr>
          <w:p>
            <w:pPr/>
            <w:r>
              <w:t xml:space="preserve">3</w:t>
            </w:r>
          </w:p>
        </w:tc>
      </w:tr>
      <w:tr>
        <w:tc>
          <w:tcPr>
            <w:tcW w:w="4680" w:type="dxa"/>
          </w:tcPr>
          <w:p>
            <w:pPr/>
            <w:r>
              <w:t xml:space="preserve">FR-21</w:t>
            </w:r>
          </w:p>
        </w:tc>
        <w:tc>
          <w:tcPr>
            <w:tcW w:w="4680" w:type="dxa"/>
          </w:tcPr>
          <w:p>
            <w:pPr/>
            <w:r>
              <w:t xml:space="preserve">3</w:t>
            </w:r>
          </w:p>
        </w:tc>
      </w:tr>
      <w:tr>
        <w:tc>
          <w:tcPr>
            <w:tcW w:w="4680" w:type="dxa"/>
          </w:tcPr>
          <w:p>
            <w:pPr/>
            <w:r>
              <w:t xml:space="preserve">FR-11</w:t>
            </w:r>
          </w:p>
        </w:tc>
        <w:tc>
          <w:tcPr>
            <w:tcW w:w="4680" w:type="dxa"/>
          </w:tcPr>
          <w:p>
            <w:pPr/>
            <w:r>
              <w:t xml:space="preserve">5</w:t>
            </w:r>
          </w:p>
        </w:tc>
      </w:tr>
      <w:tr>
        <w:tc>
          <w:tcPr>
            <w:tcW w:w="4680" w:type="dxa"/>
          </w:tcPr>
          <w:p>
            <w:pPr/>
            <w:r>
              <w:t xml:space="preserve">FR-12</w:t>
            </w:r>
          </w:p>
        </w:tc>
        <w:tc>
          <w:tcPr>
            <w:tcW w:w="4680" w:type="dxa"/>
          </w:tcPr>
          <w:p>
            <w:pPr/>
            <w:r>
              <w:t xml:space="preserve">5</w:t>
            </w:r>
          </w:p>
        </w:tc>
      </w:tr>
      <w:tr>
        <w:tc>
          <w:tcPr>
            <w:tcW w:w="4680" w:type="dxa"/>
          </w:tcPr>
          <w:p>
            <w:pPr/>
            <w:r>
              <w:t xml:space="preserve">FR-13</w:t>
            </w:r>
          </w:p>
        </w:tc>
        <w:tc>
          <w:tcPr>
            <w:tcW w:w="4680" w:type="dxa"/>
          </w:tcPr>
          <w:p>
            <w:pPr/>
            <w:r>
              <w:t xml:space="preserve">5</w:t>
            </w:r>
          </w:p>
        </w:tc>
      </w:tr>
      <w:tr>
        <w:tc>
          <w:tcPr>
            <w:tcW w:w="4680" w:type="dxa"/>
          </w:tcPr>
          <w:p>
            <w:pPr/>
            <w:r>
              <w:t xml:space="preserve">FR-24a</w:t>
            </w:r>
          </w:p>
        </w:tc>
        <w:tc>
          <w:tcPr>
            <w:tcW w:w="4680" w:type="dxa"/>
          </w:tcPr>
          <w:p>
            <w:pPr/>
            <w:r>
              <w:t xml:space="preserve">5</w:t>
            </w:r>
          </w:p>
        </w:tc>
      </w:tr>
      <w:tr>
        <w:tc>
          <w:tcPr>
            <w:tcW w:w="4680" w:type="dxa"/>
          </w:tcPr>
          <w:p>
            <w:pPr/>
            <w:r>
              <w:t xml:space="preserve">G-3</w:t>
            </w:r>
          </w:p>
        </w:tc>
        <w:tc>
          <w:tcPr>
            <w:tcW w:w="4680" w:type="dxa"/>
          </w:tcPr>
          <w:p>
            <w:pPr/>
            <w:r>
              <w:t xml:space="preserve">5</w:t>
            </w:r>
          </w:p>
        </w:tc>
      </w:tr>
    </w:tbl>
    <w:p>
      <w:pPr>
        <w:pStyle w:val="Heading2"/>
      </w:pPr>
      <w:r>
        <w:t xml:space="preserve">Open questions for the owner</w:t>
      </w:r>
    </w:p>
    <w:p>
      <w:pPr/>
      <w:r>
        <w:t xml:space="preserve">Each of these is a number or a convention the module needs before it can be correct. For every one, write down the value you have chosen and the reason — or come and ask me. None of them is a developer's call to make silently, and none of them can be left to be discovered in the code.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Why it matters</w:t>
            </w:r>
          </w:p>
        </w:tc>
      </w:tr>
      <w:tr>
        <w:tc>
          <w:tcPr>
            <w:tcW w:w="4680" w:type="dxa"/>
          </w:tcPr>
          <w:p>
            <w:pPr/>
            <w:r>
              <w:t xml:space="preserve">Gram value of one tola</w:t>
            </w:r>
          </w:p>
        </w:tc>
        <w:tc>
          <w:tcPr>
            <w:tcW w:w="4680" w:type="dxa"/>
          </w:tcPr>
          <w:p>
            <w:pPr/>
            <w:r>
              <w:t xml:space="preserve">Sits under every weight in the system</w:t>
            </w:r>
          </w:p>
        </w:tc>
      </w:tr>
      <w:tr>
        <w:tc>
          <w:tcPr>
            <w:tcW w:w="4680" w:type="dxa"/>
          </w:tcPr>
          <w:p>
            <w:pPr/>
            <w:r>
              <w:t xml:space="preserve">Purity factors</w:t>
            </w:r>
          </w:p>
        </w:tc>
        <w:tc>
          <w:tcPr>
            <w:tcW w:w="4680" w:type="dxa"/>
          </w:tcPr>
          <w:p>
            <w:pPr/>
            <w:r>
              <w:t xml:space="preserve">The shop's trade practice may not use the textbook ratio</w:t>
            </w:r>
          </w:p>
        </w:tc>
      </w:tr>
      <w:tr>
        <w:tc>
          <w:tcPr>
            <w:tcW w:w="4680" w:type="dxa"/>
          </w:tcPr>
          <w:p>
            <w:pPr/>
            <w:r>
              <w:t xml:space="preserve">A purity with no rate today</w:t>
            </w:r>
          </w:p>
        </w:tc>
        <w:tc>
          <w:tcPr>
            <w:tcW w:w="4680" w:type="dxa"/>
          </w:tcPr>
          <w:p>
            <w:pPr/>
            <w:r>
              <w:t xml:space="preserve">Decides whether such an item prices or blocks</w:t>
            </w:r>
          </w:p>
        </w:tc>
      </w:tr>
      <w:tr>
        <w:tc>
          <w:tcPr>
            <w:tcW w:w="4680" w:type="dxa"/>
          </w:tcPr>
          <w:p>
            <w:pPr/>
            <w:r>
              <w:t xml:space="preserve">Separate buying and selling rates</w:t>
            </w:r>
          </w:p>
        </w:tc>
        <w:tc>
          <w:tcPr>
            <w:tcW w:w="4680" w:type="dxa"/>
          </w:tcPr>
          <w:p>
            <w:pPr/>
            <w:r>
              <w:t xml:space="preserve">Buy-back must not use the selling rate</w:t>
            </w:r>
          </w:p>
        </w:tc>
      </w:tr>
      <w:tr>
        <w:tc>
          <w:tcPr>
            <w:tcW w:w="4680" w:type="dxa"/>
          </w:tcPr>
          <w:p>
            <w:pPr/>
            <w:r>
              <w:t xml:space="preserve">Quote validity window</w:t>
            </w:r>
          </w:p>
        </w:tc>
        <w:tc>
          <w:tcPr>
            <w:tcW w:w="4680" w:type="dxa"/>
          </w:tcPr>
          <w:p>
            <w:pPr/>
            <w:r>
              <w:t xml:space="preserve">How long a quoted price stands before a reprice is forced (Day 1 question)</w:t>
            </w:r>
          </w:p>
        </w:tc>
      </w:tr>
      <w:tr>
        <w:tc>
          <w:tcPr>
            <w:tcW w:w="4680" w:type="dxa"/>
          </w:tcPr>
          <w:p>
            <w:pPr/>
            <w:r>
              <w:t xml:space="preserve">Rate-change tolerance</w:t>
            </w:r>
          </w:p>
        </w:tc>
        <w:tc>
          <w:tcPr>
            <w:tcW w:w="4680" w:type="dxa"/>
          </w:tcPr>
          <w:p>
            <w:pPr/>
            <w:r>
              <w:t xml:space="preserve">Below it, no prompt; above it, a forced decision (Day 1 question)</w:t>
            </w:r>
          </w:p>
        </w:tc>
      </w:tr>
      <w:tr>
        <w:tc>
          <w:tcPr>
            <w:tcW w:w="4680" w:type="dxa"/>
          </w:tcPr>
          <w:p>
            <w:pPr/>
            <w:r>
              <w:t xml:space="preserve">Karigar wastage threshold</w:t>
            </w:r>
          </w:p>
        </w:tc>
        <w:tc>
          <w:tcPr>
            <w:tcW w:w="4680" w:type="dxa"/>
          </w:tcPr>
          <w:p>
            <w:pPr/>
            <w:r>
              <w:t xml:space="preserve">When a loss figure is flagged to the owner</w:t>
            </w:r>
          </w:p>
        </w:tc>
      </w:tr>
      <w:tr>
        <w:tc>
          <w:tcPr>
            <w:tcW w:w="4680" w:type="dxa"/>
          </w:tcPr>
          <w:p>
            <w:pPr/>
            <w:r>
              <w:t xml:space="preserve">Default rate in historical reports</w:t>
            </w:r>
          </w:p>
        </w:tc>
        <w:tc>
          <w:tcPr>
            <w:tcW w:w="4680" w:type="dxa"/>
          </w:tcPr>
          <w:p>
            <w:pPr/>
            <w:r>
              <w:t xml:space="preserve">"Worth then" and "worth now" are different answers</w:t>
            </w:r>
          </w:p>
        </w:tc>
      </w:tr>
    </w:tbl>
    <w:p>
      <w:pPr>
        <w:pStyle w:val="Heading2"/>
      </w:pPr>
      <w:r>
        <w:t xml:space="preserve">The Day 1 question</w:t>
      </w:r>
    </w:p>
    <w:p>
      <w:pPr/>
      <w:r>
        <w:t xml:space="preserve">A cashier opens a bill at 10:02 and reads the total out to the customer. At 10:20 the rate for Gold 22K changes. At 10:25 the cashier adds a second item. At 10:30 they print.</w:t>
      </w:r>
    </w:p>
    <w:p>
      <w:pPr/>
      <w:r>
        <w:t xml:space="preserve">Which rate did each line use? Which total did the customer agree to? Which one is on the receipt? And if the customer brought old gold to exchange on the same bill, which rate valued that?</w:t>
      </w:r>
    </w:p>
    <w:p>
      <w:pPr/>
      <w:r>
        <w:t xml:space="preserve">Answer this in your Day 1 design note, before you write any code for this module.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Metal Ledger &amp; Valuation Engine — Task Brief</dc:title>
  <dc:description>Claude Docs node/9f5a8cc2-c2b4@22 docx-w6</dc:description>
  <cp:revision>22</cp:revision>
</cp:coreProperties>
</file>