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18 - PDF Generation, Email Workflow &amp; AI Development Guide</w:t>
      </w:r>
    </w:p>
    <w:p>
      <w:pPr>
        <w:pStyle w:val="Heading2"/>
      </w:pPr>
      <w:r>
        <w:t>Purpose</w:t>
      </w:r>
    </w:p>
    <w:p>
      <w:r>
        <w:t>This document complements Parts 1-17 and explains how the completed engagement should be converted into professional PDFs, emailed to clients and staff, and implemented as a new module within the existing Financially Up website and admin portal.</w:t>
      </w:r>
    </w:p>
    <w:p>
      <w:pPr>
        <w:pStyle w:val="Heading2"/>
      </w:pPr>
      <w:r>
        <w:t>1. Recommended Architecture</w:t>
      </w:r>
    </w:p>
    <w:p>
      <w:pPr>
        <w:pStyle w:val="ListBullet"/>
      </w:pPr>
      <w:r>
        <w:t>Frontend: Next.js + Ant Design</w:t>
      </w:r>
    </w:p>
    <w:p>
      <w:pPr>
        <w:pStyle w:val="ListBullet"/>
      </w:pPr>
      <w:r>
        <w:t>Backend: Node.js + Express/Nest (existing API)</w:t>
      </w:r>
    </w:p>
    <w:p>
      <w:pPr>
        <w:pStyle w:val="ListBullet"/>
      </w:pPr>
      <w:r>
        <w:t>MySQL + Sequelize</w:t>
      </w:r>
    </w:p>
    <w:p>
      <w:pPr>
        <w:pStyle w:val="ListBullet"/>
      </w:pPr>
      <w:r>
        <w:t>Puppeteer for PDF generation</w:t>
      </w:r>
    </w:p>
    <w:p>
      <w:pPr>
        <w:pStyle w:val="ListBullet"/>
      </w:pPr>
      <w:r>
        <w:t>Nodemailer (or SMTP provider) for email delivery</w:t>
      </w:r>
    </w:p>
    <w:p>
      <w:pPr>
        <w:pStyle w:val="ListBullet"/>
      </w:pPr>
      <w:r>
        <w:t>Background queue (BullMQ + Redis) for PDF/email jobs (recommended)</w:t>
      </w:r>
    </w:p>
    <w:p>
      <w:pPr>
        <w:pStyle w:val="Heading2"/>
      </w:pPr>
      <w:r>
        <w:t>2. PDF 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Recipient</w:t>
            </w:r>
          </w:p>
        </w:tc>
        <w:tc>
          <w:tcPr>
            <w:tcW w:type="dxa" w:w="2160"/>
          </w:tcPr>
          <w:p>
            <w:r>
              <w:t>When</w:t>
            </w:r>
          </w:p>
        </w:tc>
        <w:tc>
          <w:tcPr>
            <w:tcW w:type="dxa" w:w="2160"/>
          </w:tcPr>
          <w:p>
            <w:r>
              <w:t>Contents</w:t>
            </w:r>
          </w:p>
        </w:tc>
      </w:tr>
      <w:tr>
        <w:tc>
          <w:tcPr>
            <w:tcW w:type="dxa" w:w="2160"/>
          </w:tcPr>
          <w:p>
            <w:r>
              <w:t>Client Engagement PDF</w:t>
            </w:r>
          </w:p>
        </w:tc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Immediately after submission</w:t>
            </w:r>
          </w:p>
        </w:tc>
        <w:tc>
          <w:tcPr>
            <w:tcW w:type="dxa" w:w="2160"/>
          </w:tcPr>
          <w:p>
            <w:r>
              <w:t>Client answers, engagement schedule, declarations, signature, terms.</w:t>
            </w:r>
          </w:p>
        </w:tc>
      </w:tr>
      <w:tr>
        <w:tc>
          <w:tcPr>
            <w:tcW w:type="dxa" w:w="2160"/>
          </w:tcPr>
          <w:p>
            <w:r>
              <w:t>Admin Review PDF</w:t>
            </w:r>
          </w:p>
        </w:tc>
        <w:tc>
          <w:tcPr>
            <w:tcW w:type="dxa" w:w="2160"/>
          </w:tcPr>
          <w:p>
            <w:r>
              <w:t>Internal Staff</w:t>
            </w:r>
          </w:p>
        </w:tc>
        <w:tc>
          <w:tcPr>
            <w:tcW w:type="dxa" w:w="2160"/>
          </w:tcPr>
          <w:p>
            <w:r>
              <w:t>Immediately after submission</w:t>
            </w:r>
          </w:p>
        </w:tc>
        <w:tc>
          <w:tcPr>
            <w:tcW w:type="dxa" w:w="2160"/>
          </w:tcPr>
          <w:p>
            <w:r>
              <w:t>Client answers plus review summary, checklist and internal metadata. Exclude AML notes until completed.</w:t>
            </w:r>
          </w:p>
        </w:tc>
      </w:tr>
      <w:tr>
        <w:tc>
          <w:tcPr>
            <w:tcW w:type="dxa" w:w="2160"/>
          </w:tcPr>
          <w:p>
            <w:r>
              <w:t>Engagement Acceptance Notice</w:t>
            </w:r>
          </w:p>
        </w:tc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After accountant accepts</w:t>
            </w:r>
          </w:p>
        </w:tc>
        <w:tc>
          <w:tcPr>
            <w:tcW w:type="dxa" w:w="2160"/>
          </w:tcPr>
          <w:p>
            <w:r>
              <w:t>Official acceptance letter with final engagement terms.</w:t>
            </w:r>
          </w:p>
        </w:tc>
      </w:tr>
    </w:tbl>
    <w:p>
      <w:pPr>
        <w:pStyle w:val="Heading2"/>
      </w:pPr>
      <w:r>
        <w:t>3. Email Workflow</w:t>
      </w:r>
    </w:p>
    <w:p>
      <w:pPr>
        <w:pStyle w:val="ListNumber"/>
      </w:pPr>
      <w:r>
        <w:t>Client submits engagement.</w:t>
      </w:r>
    </w:p>
    <w:p>
      <w:pPr>
        <w:pStyle w:val="ListNumber"/>
      </w:pPr>
      <w:r>
        <w:t>Save all data.</w:t>
      </w:r>
    </w:p>
    <w:p>
      <w:pPr>
        <w:pStyle w:val="ListNumber"/>
      </w:pPr>
      <w:r>
        <w:t>Generate Client PDF.</w:t>
      </w:r>
    </w:p>
    <w:p>
      <w:pPr>
        <w:pStyle w:val="ListNumber"/>
      </w:pPr>
      <w:r>
        <w:t>Generate Admin PDF.</w:t>
      </w:r>
    </w:p>
    <w:p>
      <w:pPr>
        <w:pStyle w:val="ListNumber"/>
      </w:pPr>
      <w:r>
        <w:t>Email Client PDF to the client.</w:t>
      </w:r>
    </w:p>
    <w:p>
      <w:pPr>
        <w:pStyle w:val="ListNumber"/>
      </w:pPr>
      <w:r>
        <w:t>Email Admin PDF to configured staff mailbox.</w:t>
      </w:r>
    </w:p>
    <w:p>
      <w:pPr>
        <w:pStyle w:val="ListNumber"/>
      </w:pPr>
      <w:r>
        <w:t>Set status to Pending Review.</w:t>
      </w:r>
    </w:p>
    <w:p>
      <w:pPr>
        <w:pStyle w:val="ListNumber"/>
      </w:pPr>
      <w:r>
        <w:t>When accepted, generate Acceptance PDF and email the client.</w:t>
      </w:r>
    </w:p>
    <w:p>
      <w:pPr>
        <w:pStyle w:val="Heading2"/>
      </w:pPr>
      <w:r>
        <w:t>4. Recommended Project Structure</w:t>
      </w:r>
    </w:p>
    <w:p>
      <w:r>
        <w:t>src/</w:t>
        <w:br/>
        <w:t xml:space="preserve">  pdf/</w:t>
        <w:br/>
        <w:t xml:space="preserve">    ClientEngagementPDF.tsx</w:t>
        <w:br/>
        <w:t xml:space="preserve">    AdminReviewPDF.tsx</w:t>
        <w:br/>
        <w:t xml:space="preserve">    EngagementAcceptancePDF.tsx</w:t>
        <w:br/>
        <w:t xml:space="preserve">    components/</w:t>
        <w:br/>
        <w:t xml:space="preserve">    styles/</w:t>
        <w:br/>
        <w:t xml:space="preserve">  jobs/</w:t>
        <w:br/>
        <w:t xml:space="preserve">    generatePdf.ts</w:t>
        <w:br/>
        <w:t xml:space="preserve">    sendEmail.ts</w:t>
        <w:br/>
        <w:t xml:space="preserve">  templates/</w:t>
        <w:br/>
        <w:t xml:space="preserve">    client-email.html</w:t>
        <w:br/>
        <w:t xml:space="preserve">    admin-email.html</w:t>
      </w:r>
    </w:p>
    <w:p>
      <w:pPr>
        <w:pStyle w:val="Heading2"/>
      </w:pPr>
      <w:r>
        <w:t>5. AI Development Context</w:t>
      </w:r>
    </w:p>
    <w:p>
      <w:r>
        <w:t>Provide Parts 1-18 together as the project specification. Instruct the AI to treat these documents as the authoritative source for requirements and not invent business rules.</w:t>
      </w:r>
    </w:p>
    <w:p>
      <w:pPr>
        <w:pStyle w:val="Heading2"/>
      </w:pPr>
      <w:r>
        <w:t>6. Recommended AI Models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Best Use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Claude Opus 4.1/4.6 Thinking</w:t>
            </w:r>
          </w:p>
        </w:tc>
        <w:tc>
          <w:tcPr>
            <w:tcW w:type="dxa" w:w="2880"/>
          </w:tcPr>
          <w:p>
            <w:r>
              <w:t>Architecture, refactoring, complex implementation</w:t>
            </w:r>
          </w:p>
        </w:tc>
        <w:tc>
          <w:tcPr>
            <w:tcW w:type="dxa" w:w="2880"/>
          </w:tcPr>
          <w:p>
            <w:r>
              <w:t>⭐⭐⭐⭐⭐ Recommended</w:t>
            </w:r>
          </w:p>
        </w:tc>
      </w:tr>
      <w:tr>
        <w:tc>
          <w:tcPr>
            <w:tcW w:type="dxa" w:w="2880"/>
          </w:tcPr>
          <w:p>
            <w:r>
              <w:t>Gemini 2.5 Pro</w:t>
            </w:r>
          </w:p>
        </w:tc>
        <w:tc>
          <w:tcPr>
            <w:tcW w:type="dxa" w:w="2880"/>
          </w:tcPr>
          <w:p>
            <w:r>
              <w:t>Large codebase implementation and long context</w:t>
            </w:r>
          </w:p>
        </w:tc>
        <w:tc>
          <w:tcPr>
            <w:tcW w:type="dxa" w:w="2880"/>
          </w:tcPr>
          <w:p>
            <w:r>
              <w:t>⭐⭐⭐⭐⭐ Recommended</w:t>
            </w:r>
          </w:p>
        </w:tc>
      </w:tr>
      <w:tr>
        <w:tc>
          <w:tcPr>
            <w:tcW w:type="dxa" w:w="2880"/>
          </w:tcPr>
          <w:p>
            <w:r>
              <w:t>Gemini 2.5 Flash</w:t>
            </w:r>
          </w:p>
        </w:tc>
        <w:tc>
          <w:tcPr>
            <w:tcW w:type="dxa" w:w="2880"/>
          </w:tcPr>
          <w:p>
            <w:r>
              <w:t>Fast iterative coding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</w:tr>
      <w:tr>
        <w:tc>
          <w:tcPr>
            <w:tcW w:type="dxa" w:w="2880"/>
          </w:tcPr>
          <w:p>
            <w:r>
              <w:t>GPT-5.5</w:t>
            </w:r>
          </w:p>
        </w:tc>
        <w:tc>
          <w:tcPr>
            <w:tcW w:type="dxa" w:w="2880"/>
          </w:tcPr>
          <w:p>
            <w:r>
              <w:t>Planning, debugging, architecture, implementation support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</w:tr>
    </w:tbl>
    <w:p>
      <w:pPr>
        <w:pStyle w:val="Heading2"/>
      </w:pPr>
      <w:r>
        <w:t>7. Initial AI Prompt</w:t>
      </w:r>
    </w:p>
    <w:p>
      <w:r>
        <w:t>You are the lead senior full-stack engineer for the Financially Up Individual Engagement System.</w:t>
        <w:br/>
        <w:br/>
        <w:t>Read Parts 1-18 of the specification before writing code.</w:t>
        <w:br/>
        <w:br/>
        <w:t>Rules:</w:t>
        <w:br/>
        <w:t>- Follow the specifications exactly.</w:t>
        <w:br/>
        <w:t>- Do not invent business rules.</w:t>
        <w:br/>
        <w:t>- Build a new Engagement module inside the existing Next.js website and Admin Portal.</w:t>
        <w:br/>
        <w:t>- Use Ant Design for all UI.</w:t>
        <w:br/>
        <w:t>- Use Sequelize + MySQL.</w:t>
        <w:br/>
        <w:t>- Use reusable React components.</w:t>
        <w:br/>
        <w:t>- Implement every validation and conditional rule from the specification.</w:t>
        <w:br/>
        <w:t>- Generate professional PDFs using Puppeteer.</w:t>
        <w:br/>
        <w:t>- Generate Client PDF and Admin PDF after submission.</w:t>
        <w:br/>
        <w:t>- Email the correct PDF to the correct recipient.</w:t>
        <w:br/>
        <w:t>- Keep client and admin workflows separate.</w:t>
        <w:br/>
        <w:t>- Write clean, production-ready, documented TypeScript code.</w:t>
        <w:br/>
        <w:t>- Before implementing each feature, explain your approach briefly and identify any ambiguity in the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