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2 - Step 1: Service Selection</w:t>
      </w:r>
    </w:p>
    <w:p>
      <w:pPr>
        <w:pStyle w:val="Heading2"/>
      </w:pPr>
      <w:r>
        <w:t>Purpose</w:t>
      </w:r>
    </w:p>
    <w:p>
      <w:r>
        <w:t>This step determines the services requested by the client and drives the remaining wizard using conditional logic.</w:t>
      </w:r>
    </w:p>
    <w:p>
      <w:pPr>
        <w:pStyle w:val="Heading2"/>
      </w:pPr>
      <w:r>
        <w:t>Business Requirements</w:t>
      </w:r>
    </w:p>
    <w:p>
      <w:pPr>
        <w:pStyle w:val="ListBullet"/>
      </w:pPr>
      <w:r>
        <w:t>Client must select at least one service.</w:t>
      </w:r>
    </w:p>
    <w:p>
      <w:pPr>
        <w:pStyle w:val="ListBullet"/>
      </w:pPr>
      <w:r>
        <w:t>Questions shown later depend on selected services.</w:t>
      </w:r>
    </w:p>
    <w:p>
      <w:pPr>
        <w:pStyle w:val="ListBullet"/>
      </w:pPr>
      <w:r>
        <w:t>If entity-related work is selected, a separate Entity Engagement must be created while allowing the individual engagement to continue.</w:t>
      </w:r>
    </w:p>
    <w:p>
      <w:pPr>
        <w:pStyle w:val="Heading2"/>
      </w:pPr>
      <w:r>
        <w:t>Field Specifications</w:t>
      </w:r>
    </w:p>
    <w:p>
      <w:pPr>
        <w:pStyle w:val="Heading3"/>
      </w:pPr>
      <w:r>
        <w:t>SRV-001 - What would you like help with?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services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Checkbox.Group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Multiple Selection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Select one or more services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 visible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At least one option must be selected.</w:t>
            </w:r>
          </w:p>
        </w:tc>
      </w:tr>
      <w:tr>
        <w:tc>
          <w:tcPr>
            <w:tcW w:type="dxa" w:w="4320"/>
          </w:tcPr>
          <w:p>
            <w:r>
              <w:t>Error Message</w:t>
            </w:r>
          </w:p>
        </w:tc>
        <w:tc>
          <w:tcPr>
            <w:tcW w:type="dxa" w:w="4320"/>
          </w:tcPr>
          <w:p>
            <w:r>
              <w:t>Please select at least one service.</w:t>
            </w:r>
          </w:p>
        </w:tc>
      </w:tr>
    </w:tbl>
    <w:p>
      <w:pPr>
        <w:pStyle w:val="IntenseQuote"/>
      </w:pPr>
      <w:r>
        <w:t>Options:</w:t>
      </w:r>
    </w:p>
    <w:p>
      <w:pPr>
        <w:pStyle w:val="ListBullet"/>
      </w:pPr>
      <w:r>
        <w:t>Individual Tax Return</w:t>
      </w:r>
    </w:p>
    <w:p>
      <w:pPr>
        <w:pStyle w:val="ListBullet"/>
      </w:pPr>
      <w:r>
        <w:t>Prior-Year Return</w:t>
      </w:r>
    </w:p>
    <w:p>
      <w:pPr>
        <w:pStyle w:val="ListBullet"/>
      </w:pPr>
      <w:r>
        <w:t>Amendment</w:t>
      </w:r>
    </w:p>
    <w:p>
      <w:pPr>
        <w:pStyle w:val="ListBullet"/>
      </w:pPr>
      <w:r>
        <w:t>Rental Property</w:t>
      </w:r>
    </w:p>
    <w:p>
      <w:pPr>
        <w:pStyle w:val="ListBullet"/>
      </w:pPr>
      <w:r>
        <w:t>Capital Gains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Foreign Income / Residency</w:t>
      </w:r>
    </w:p>
    <w:p>
      <w:pPr>
        <w:pStyle w:val="ListBullet"/>
      </w:pPr>
      <w:r>
        <w:t>Tax Planning</w:t>
      </w:r>
    </w:p>
    <w:p>
      <w:pPr>
        <w:pStyle w:val="ListBullet"/>
      </w:pPr>
      <w:r>
        <w:t>ATO Matter</w:t>
      </w:r>
    </w:p>
    <w:p>
      <w:pPr>
        <w:pStyle w:val="ListBullet"/>
      </w:pPr>
      <w:r>
        <w:t>Sole Trader BAS</w:t>
      </w:r>
    </w:p>
    <w:p>
      <w:pPr>
        <w:pStyle w:val="ListBullet"/>
      </w:pPr>
      <w:r>
        <w:t>ABN Application</w:t>
      </w:r>
    </w:p>
    <w:p>
      <w:pPr>
        <w:pStyle w:val="ListBullet"/>
      </w:pPr>
      <w:r>
        <w:t>GST Registration</w:t>
      </w:r>
    </w:p>
    <w:p>
      <w:pPr>
        <w:pStyle w:val="ListBullet"/>
      </w:pPr>
      <w:r>
        <w:t>Other</w:t>
      </w:r>
    </w:p>
    <w:p>
      <w:pPr>
        <w:pStyle w:val="Heading3"/>
      </w:pPr>
      <w:r>
        <w:t>SRV-002 - Does the service relate to a company, trust, partnership or another entity?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entityService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Single Selection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 visible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Must select one option.</w:t>
            </w:r>
          </w:p>
        </w:tc>
      </w:tr>
      <w:tr>
        <w:tc>
          <w:tcPr>
            <w:tcW w:type="dxa" w:w="4320"/>
          </w:tcPr>
          <w:p>
            <w:r>
              <w:t>Error Message</w:t>
            </w:r>
          </w:p>
        </w:tc>
        <w:tc>
          <w:tcPr>
            <w:tcW w:type="dxa" w:w="4320"/>
          </w:tcPr>
          <w:p>
            <w:r>
              <w:t>Please select an option.</w:t>
            </w:r>
          </w:p>
        </w:tc>
      </w:tr>
    </w:tbl>
    <w:p>
      <w:pPr>
        <w:pStyle w:val="IntenseQuote"/>
      </w:pPr>
      <w:r>
        <w:t>Options:</w:t>
      </w:r>
    </w:p>
    <w:p>
      <w:pPr>
        <w:pStyle w:val="ListBullet"/>
      </w:pPr>
      <w:r>
        <w:t>No</w:t>
      </w:r>
    </w:p>
    <w:p>
      <w:pPr>
        <w:pStyle w:val="ListBullet"/>
      </w:pPr>
      <w:r>
        <w:t>Yes</w:t>
      </w:r>
    </w:p>
    <w:p>
      <w:pPr>
        <w:pStyle w:val="ListBullet"/>
      </w:pPr>
      <w:r>
        <w:t>Unsure</w:t>
      </w:r>
    </w:p>
    <w:p>
      <w:pPr>
        <w:pStyle w:val="Heading2"/>
      </w:pPr>
      <w:r>
        <w:t>Conditional Logic</w:t>
      </w:r>
    </w:p>
    <w:p>
      <w:pPr>
        <w:pStyle w:val="ListBullet"/>
      </w:pPr>
      <w:r>
        <w:t>If Entity Service = Yes</w:t>
      </w:r>
    </w:p>
    <w:p>
      <w:pPr>
        <w:pStyle w:val="ListBullet2"/>
      </w:pPr>
      <w:r>
        <w:t>Continue the Individual Engagement wizard.</w:t>
      </w:r>
    </w:p>
    <w:p>
      <w:pPr>
        <w:pStyle w:val="ListBullet2"/>
      </w:pPr>
      <w:r>
        <w:t>Automatically create a linked Business / Entity Engagement record.</w:t>
      </w:r>
    </w:p>
    <w:p>
      <w:pPr>
        <w:pStyle w:val="ListBullet2"/>
      </w:pPr>
      <w:r>
        <w:t>Notify internal staff that a second engagement is required.</w:t>
      </w:r>
    </w:p>
    <w:p>
      <w:pPr>
        <w:pStyle w:val="ListBullet2"/>
      </w:pPr>
      <w:r>
        <w:t>Do not ask company/trust fields inside this individual form.</w:t>
      </w:r>
    </w:p>
    <w:p>
      <w:pPr>
        <w:pStyle w:val="ListBullet"/>
      </w:pPr>
      <w:r>
        <w:t>If Entity Service = No or Unsure</w:t>
      </w:r>
    </w:p>
    <w:p>
      <w:pPr>
        <w:pStyle w:val="ListBullet2"/>
      </w:pPr>
      <w:r>
        <w:t>Continue normal Individual Engagement flow.</w:t>
      </w:r>
    </w:p>
    <w:p>
      <w:pPr>
        <w:pStyle w:val="Heading2"/>
      </w:pPr>
      <w:r>
        <w:t>Recommended Ant Design Model</w:t>
      </w:r>
    </w:p>
    <w:p>
      <w:r>
        <w:t>{</w:t>
        <w:br/>
        <w:t xml:space="preserve">  services: [],</w:t>
        <w:br/>
        <w:t xml:space="preserve">  entityService: null</w:t>
        <w:br/>
        <w:t>}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User cannot continue without selecting at least one service.</w:t>
      </w:r>
    </w:p>
    <w:p>
      <w:pPr>
        <w:pStyle w:val="ListNumber"/>
      </w:pPr>
      <w:r>
        <w:t>Entity question is mandatory.</w:t>
      </w:r>
    </w:p>
    <w:p>
      <w:pPr>
        <w:pStyle w:val="ListNumber"/>
      </w:pPr>
      <w:r>
        <w:t>Entity fields are not collected in this form.</w:t>
      </w:r>
    </w:p>
    <w:p>
      <w:pPr>
        <w:pStyle w:val="ListNumber"/>
      </w:pPr>
      <w:r>
        <w:t>Selection is stored successfully.</w:t>
      </w:r>
    </w:p>
    <w:p>
      <w:pPr>
        <w:pStyle w:val="ListNumber"/>
      </w:pPr>
      <w:r>
        <w:t>Next step depends on selected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