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5 - Step 4: Income &amp; Tax Profile</w:t>
      </w:r>
    </w:p>
    <w:p>
      <w:pPr>
        <w:pStyle w:val="Heading2"/>
      </w:pPr>
      <w:r>
        <w:t>Step Objective</w:t>
      </w:r>
    </w:p>
    <w:p>
      <w:r>
        <w:t>Collect the client's income sources, previous accountant information and any ATO issues. The answers determine document requests, review flags and follow-up workflow.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At least one income/activity should be selected.</w:t>
      </w:r>
    </w:p>
    <w:p>
      <w:pPr>
        <w:pStyle w:val="ListBullet"/>
      </w:pPr>
      <w:r>
        <w:t>Previous accountant questions appear only when applicable.</w:t>
      </w:r>
    </w:p>
    <w:p>
      <w:pPr>
        <w:pStyle w:val="ListBullet"/>
      </w:pPr>
      <w:r>
        <w:t>ATO debt, audits or unresolved correspondence require additional information and document upload.</w:t>
      </w:r>
    </w:p>
    <w:p>
      <w:pPr>
        <w:pStyle w:val="ListBullet"/>
      </w:pPr>
      <w:r>
        <w:t>Disputes with a previous accountant create an internal review flag.</w:t>
      </w:r>
    </w:p>
    <w:p>
      <w:pPr>
        <w:pStyle w:val="ListBullet"/>
      </w:pPr>
      <w:r>
        <w:t>ATO issues create a priority review task.</w:t>
      </w:r>
    </w:p>
    <w:p>
      <w:pPr>
        <w:pStyle w:val="Heading2"/>
      </w:pPr>
      <w:r>
        <w:t>Field Specifications</w:t>
      </w:r>
    </w:p>
    <w:p>
      <w:pPr>
        <w:pStyle w:val="Heading3"/>
      </w:pPr>
      <w:r>
        <w:t>INC-001 - Income &amp; Activity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incomeActivities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Checkbox.Group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Salary/Wages; Government Payments; Interest; Dividends/Funds; Rental Property; Capital Gains; Cryptocurrency; Foreign Income/Assets; Super/Pension; Employee Shares; Sole Trader/Contractor Income; Other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at least one income source.</w:t>
            </w:r>
          </w:p>
        </w:tc>
      </w:tr>
    </w:tbl>
    <w:p>
      <w:pPr>
        <w:pStyle w:val="Heading3"/>
      </w:pPr>
      <w:r>
        <w:t>INC-002 - Previous Accountant?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hadPreviousAccountant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an option.</w:t>
            </w:r>
          </w:p>
        </w:tc>
      </w:tr>
    </w:tbl>
    <w:p>
      <w:pPr>
        <w:pStyle w:val="Heading3"/>
      </w:pPr>
      <w:r>
        <w:t>INC-003 - Previous Firm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previousFirm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hadPreviousAccountant=Yes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Enter firm name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the previous firm.</w:t>
            </w:r>
          </w:p>
        </w:tc>
      </w:tr>
    </w:tbl>
    <w:p>
      <w:pPr>
        <w:pStyle w:val="Heading3"/>
      </w:pPr>
      <w:r>
        <w:t>INC-004 - Reason for Change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reasonForChange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TextArea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hadPreviousAccountant=Yes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Describe reason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provide a reason.</w:t>
            </w:r>
          </w:p>
        </w:tc>
      </w:tr>
    </w:tbl>
    <w:p>
      <w:pPr>
        <w:pStyle w:val="Heading3"/>
      </w:pPr>
      <w:r>
        <w:t>INC-005 - Authorise Contact?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authorisePreviousAdvisor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hadPreviousAccountant=Yes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Authorise / Do Not Authorise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INC-006 - ATO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atoIssues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No / Yes / Unsure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an option.</w:t>
            </w:r>
          </w:p>
        </w:tc>
      </w:tr>
    </w:tbl>
    <w:p>
      <w:pPr>
        <w:pStyle w:val="Heading3"/>
      </w:pPr>
      <w:r>
        <w:t>INC-007 - ATO Explanation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atoExplanation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TextArea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atoIssues!=No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Describe issue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provide details.</w:t>
            </w:r>
          </w:p>
        </w:tc>
      </w:tr>
    </w:tbl>
    <w:p>
      <w:pPr>
        <w:pStyle w:val="Heading3"/>
      </w:pPr>
      <w:r>
        <w:t>INC-008 - Notice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noticeDate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atoIssues!=No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notice date.</w:t>
            </w:r>
          </w:p>
        </w:tc>
      </w:tr>
    </w:tbl>
    <w:p>
      <w:pPr>
        <w:pStyle w:val="Heading3"/>
      </w:pPr>
      <w:r>
        <w:t>INC-009 - Due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dueDate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atoIssues!=No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due date.</w:t>
            </w:r>
          </w:p>
        </w:tc>
      </w:tr>
    </w:tbl>
    <w:p>
      <w:pPr>
        <w:pStyle w:val="Heading3"/>
      </w:pPr>
      <w:r>
        <w:t>INC-010 - Supporting Documents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atoDocuments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Upload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atoIssues!=No</w:t>
            </w:r>
          </w:p>
        </w:tc>
      </w:tr>
      <w:tr>
        <w:tc>
          <w:tcPr>
            <w:tcW w:type="dxa" w:w="4320"/>
          </w:tcPr>
          <w:p>
            <w:r>
              <w:t>Options / Placeholder</w:t>
            </w:r>
          </w:p>
        </w:tc>
        <w:tc>
          <w:tcPr>
            <w:tcW w:type="dxa" w:w="4320"/>
          </w:tcPr>
          <w:p>
            <w:r>
              <w:t>PDF/JPG/PNG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upload supporting documents.</w:t>
            </w:r>
          </w:p>
        </w:tc>
      </w:tr>
    </w:tbl>
    <w:p>
      <w:pPr>
        <w:pStyle w:val="Heading2"/>
      </w:pPr>
      <w:r>
        <w:t>Conditional Logic</w:t>
      </w:r>
    </w:p>
    <w:p>
      <w:pPr>
        <w:pStyle w:val="ListBullet"/>
      </w:pPr>
      <w:r>
        <w:t>If Previous Accountant = Yes → Display Previous Firm, Reason for Change and Authorisation fields.</w:t>
      </w:r>
    </w:p>
    <w:p>
      <w:pPr>
        <w:pStyle w:val="ListBullet"/>
      </w:pPr>
      <w:r>
        <w:t>If Reason for Change indicates dispute or involuntary disengagement → Create Internal Review Flag.</w:t>
      </w:r>
    </w:p>
    <w:p>
      <w:pPr>
        <w:pStyle w:val="ListBullet"/>
      </w:pPr>
      <w:r>
        <w:t>If ATO Issues = Yes or Unsure → Display explanation, notice date, due date and upload fields.</w:t>
      </w:r>
    </w:p>
    <w:p>
      <w:pPr>
        <w:pStyle w:val="ListBullet"/>
      </w:pPr>
      <w:r>
        <w:t>If ATO Issues = Yes or Unsure → Create Priority Review Task for accountant.</w:t>
      </w:r>
    </w:p>
    <w:p>
      <w:pPr>
        <w:pStyle w:val="Heading2"/>
      </w:pPr>
      <w:r>
        <w:t>Internal System Actions</w:t>
      </w:r>
    </w:p>
    <w:p>
      <w:pPr>
        <w:pStyle w:val="ListBullet"/>
      </w:pPr>
      <w:r>
        <w:t>Flag disputed previous accountant relationships.</w:t>
      </w:r>
    </w:p>
    <w:p>
      <w:pPr>
        <w:pStyle w:val="ListBullet"/>
      </w:pPr>
      <w:r>
        <w:t>Create priority review for ATO matters.</w:t>
      </w:r>
    </w:p>
    <w:p>
      <w:pPr>
        <w:pStyle w:val="ListBullet"/>
      </w:pPr>
      <w:r>
        <w:t>Link uploaded ATO documents to engagement.</w:t>
      </w:r>
    </w:p>
    <w:p>
      <w:pPr>
        <w:pStyle w:val="ListBullet"/>
      </w:pPr>
      <w:r>
        <w:t>Include selected income types in dynamic document request engine.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At least one income source is selected.</w:t>
      </w:r>
    </w:p>
    <w:p>
      <w:pPr>
        <w:pStyle w:val="ListNumber"/>
      </w:pPr>
      <w:r>
        <w:t>Conditional fields remain hidden until triggered.</w:t>
      </w:r>
    </w:p>
    <w:p>
      <w:pPr>
        <w:pStyle w:val="ListNumber"/>
      </w:pPr>
      <w:r>
        <w:t>ATO uploads are mandatory when displayed.</w:t>
      </w:r>
    </w:p>
    <w:p>
      <w:pPr>
        <w:pStyle w:val="ListNumber"/>
      </w:pPr>
      <w:r>
        <w:t>Review flags are generated correctly.</w:t>
      </w:r>
    </w:p>
    <w:p>
      <w:pPr>
        <w:pStyle w:val="ListNumber"/>
      </w:pPr>
      <w:r>
        <w:t>Submitted values are stored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