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8 - Step 7: Representative, Bank Details &amp; Authorities</w:t>
      </w:r>
    </w:p>
    <w:p>
      <w:pPr>
        <w:pStyle w:val="Heading2"/>
      </w:pPr>
      <w:r>
        <w:t>Step Objective</w:t>
      </w:r>
    </w:p>
    <w:p>
      <w:r>
        <w:t>Collect representative information (where applicable), bank details when required, and the client authorities required to interact with the ATO, ABR and previous advisers.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Default assumption is the client is completing the form for themselves.</w:t>
      </w:r>
    </w:p>
    <w:p>
      <w:pPr>
        <w:pStyle w:val="ListBullet"/>
      </w:pPr>
      <w:r>
        <w:t>If a representative completes the form, both identities and authority must be verified.</w:t>
      </w:r>
    </w:p>
    <w:p>
      <w:pPr>
        <w:pStyle w:val="ListBullet"/>
      </w:pPr>
      <w:r>
        <w:t>Estate and deceased matters must not continue in this workflow and must be redirected to the appropriate engagement.</w:t>
      </w:r>
    </w:p>
    <w:p>
      <w:pPr>
        <w:pStyle w:val="ListBullet"/>
      </w:pPr>
      <w:r>
        <w:t>Bank details are only collected when required by the selected service.</w:t>
      </w:r>
    </w:p>
    <w:p>
      <w:pPr>
        <w:pStyle w:val="ListBullet"/>
      </w:pPr>
      <w:r>
        <w:t>ATO Authority is mandatory.</w:t>
      </w:r>
    </w:p>
    <w:p>
      <w:pPr>
        <w:pStyle w:val="ListBullet"/>
      </w:pPr>
      <w:r>
        <w:t>ABR Authority is mandatory only when ABN/GST services are selected.</w:t>
      </w:r>
    </w:p>
    <w:p>
      <w:pPr>
        <w:pStyle w:val="ListBullet"/>
      </w:pPr>
      <w:r>
        <w:t>Previous Adviser Authority is displayed only if the client had a previous accountant.</w:t>
      </w:r>
    </w:p>
    <w:p>
      <w:pPr>
        <w:pStyle w:val="Heading2"/>
      </w:pPr>
      <w:r>
        <w:t>Representative</w:t>
      </w:r>
    </w:p>
    <w:p>
      <w:pPr>
        <w:pStyle w:val="Heading3"/>
      </w:pPr>
      <w:r>
        <w:t>REP-001 - Are you completing this form for yourself?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isSelf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>
      <w:pPr>
        <w:pStyle w:val="Heading3"/>
      </w:pPr>
      <w:r>
        <w:t>REP-002 - Representative Full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repName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isSelf=No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REP-003 - Relationship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relationship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isSelf=No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Parent / Guardian / Attorney / Executor / Other</w:t>
            </w:r>
          </w:p>
        </w:tc>
      </w:tr>
    </w:tbl>
    <w:p>
      <w:pPr>
        <w:pStyle w:val="Heading3"/>
      </w:pPr>
      <w:r>
        <w:t>REP-004 - Authority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authorityDoc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isSelf=No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PDF/JPG/PNG</w:t>
            </w:r>
          </w:p>
        </w:tc>
      </w:tr>
    </w:tbl>
    <w:p>
      <w:pPr>
        <w:pStyle w:val="Heading3"/>
      </w:pPr>
      <w:r>
        <w:t>REP-005 - Authority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authorityDesc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isSelf=No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Bank Details</w:t>
      </w:r>
    </w:p>
    <w:p>
      <w:pPr>
        <w:pStyle w:val="Heading3"/>
      </w:pPr>
      <w:r>
        <w:t>BANK-001 - Are bank details required?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needBank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Yes / No / Unsure</w:t>
            </w:r>
          </w:p>
        </w:tc>
      </w:tr>
    </w:tbl>
    <w:p>
      <w:pPr>
        <w:pStyle w:val="Heading3"/>
      </w:pPr>
      <w:r>
        <w:t>BANK-002 - Account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accountName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needBank=Yes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BANK-003 - BSB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bsb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needBank=Yes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6 digits</w:t>
            </w:r>
          </w:p>
        </w:tc>
      </w:tr>
    </w:tbl>
    <w:p>
      <w:pPr>
        <w:pStyle w:val="Heading3"/>
      </w:pPr>
      <w:r>
        <w:t>BANK-004 - Account Number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accountNumber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needBank=Yes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Masked after submission</w:t>
            </w:r>
          </w:p>
        </w:tc>
      </w:tr>
    </w:tbl>
    <w:p>
      <w:pPr>
        <w:pStyle w:val="Heading3"/>
      </w:pPr>
      <w:r>
        <w:t>BANK-005 - Confirm Account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confirmOwnership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needBank=Yes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Authorities</w:t>
      </w:r>
    </w:p>
    <w:p>
      <w:pPr>
        <w:pStyle w:val="Heading3"/>
      </w:pPr>
      <w:r>
        <w:t>AUTH-001 - ATO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atoAuthority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AUTH-002 - ABR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abrAuthority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ABN/GST selected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AUTH-003 - Previous Adviser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previousAuthority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Previous accountant = 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Authorise / Do Not Authorise</w:t>
            </w:r>
          </w:p>
        </w:tc>
      </w:tr>
    </w:tbl>
    <w:p>
      <w:pPr>
        <w:pStyle w:val="Heading2"/>
      </w:pPr>
      <w:r>
        <w:t>Conditional Logic</w:t>
      </w:r>
    </w:p>
    <w:p>
      <w:pPr>
        <w:pStyle w:val="ListBullet"/>
      </w:pPr>
      <w:r>
        <w:t>If 'Completing for Yourself' = No → Display representative fields and verify both client and representative.</w:t>
      </w:r>
    </w:p>
    <w:p>
      <w:pPr>
        <w:pStyle w:val="ListBullet"/>
      </w:pPr>
      <w:r>
        <w:t>If representative is Guardian, Attorney or Executor → Require authority document before submission.</w:t>
      </w:r>
    </w:p>
    <w:p>
      <w:pPr>
        <w:pStyle w:val="ListBullet"/>
      </w:pPr>
      <w:r>
        <w:t>If matter relates to a deceased estate → Stop workflow and redirect to Estate Engagement.</w:t>
      </w:r>
    </w:p>
    <w:p>
      <w:pPr>
        <w:pStyle w:val="ListBullet"/>
      </w:pPr>
      <w:r>
        <w:t>If bank details are required → Display bank fields and verify account ownership.</w:t>
      </w:r>
    </w:p>
    <w:p>
      <w:pPr>
        <w:pStyle w:val="ListBullet"/>
      </w:pPr>
      <w:r>
        <w:t>If ABN/GST service selected → Display ABR Authority.</w:t>
      </w:r>
    </w:p>
    <w:p>
      <w:pPr>
        <w:pStyle w:val="ListBullet"/>
      </w:pPr>
      <w:r>
        <w:t>If previous accountant exists → Display Previous Adviser Authority.</w:t>
      </w:r>
    </w:p>
    <w:p>
      <w:pPr>
        <w:pStyle w:val="Heading2"/>
      </w:pPr>
      <w:r>
        <w:t>Internal Actions</w:t>
      </w:r>
    </w:p>
    <w:p>
      <w:pPr>
        <w:pStyle w:val="ListBullet"/>
      </w:pPr>
      <w:r>
        <w:t>Create manual review for representative engagements.</w:t>
      </w:r>
    </w:p>
    <w:p>
      <w:pPr>
        <w:pStyle w:val="ListBullet"/>
      </w:pPr>
      <w:r>
        <w:t>Verify authority documents before acceptance.</w:t>
      </w:r>
    </w:p>
    <w:p>
      <w:pPr>
        <w:pStyle w:val="ListBullet"/>
      </w:pPr>
      <w:r>
        <w:t>Mask bank account details after submission.</w:t>
      </w:r>
    </w:p>
    <w:p>
      <w:pPr>
        <w:pStyle w:val="ListBullet"/>
      </w:pPr>
      <w:r>
        <w:t>Re-verify changed bank details through a trusted communication channel.</w:t>
      </w:r>
    </w:p>
    <w:p>
      <w:pPr>
        <w:pStyle w:val="ListBullet"/>
      </w:pPr>
      <w:r>
        <w:t>Record ATO/ABR authority selections in the audit log.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Representative fields remain hidden unless required.</w:t>
      </w:r>
    </w:p>
    <w:p>
      <w:pPr>
        <w:pStyle w:val="ListNumber"/>
      </w:pPr>
      <w:r>
        <w:t>Authority documents are mandatory for representatives.</w:t>
      </w:r>
    </w:p>
    <w:p>
      <w:pPr>
        <w:pStyle w:val="ListNumber"/>
      </w:pPr>
      <w:r>
        <w:t>Estate engagements cannot continue in this wizard.</w:t>
      </w:r>
    </w:p>
    <w:p>
      <w:pPr>
        <w:pStyle w:val="ListNumber"/>
      </w:pPr>
      <w:r>
        <w:t>Bank details are only requested when applicable.</w:t>
      </w:r>
    </w:p>
    <w:p>
      <w:pPr>
        <w:pStyle w:val="ListNumber"/>
      </w:pPr>
      <w:r>
        <w:t>ATO Authority must be accepted before submission.</w:t>
      </w:r>
    </w:p>
    <w:p>
      <w:pPr>
        <w:pStyle w:val="ListNumber"/>
      </w:pPr>
      <w:r>
        <w:t>ABR Authority is required only for ABN/GST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