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9 - Step 8: Engagement Schedule</w:t>
      </w:r>
    </w:p>
    <w:p>
      <w:pPr>
        <w:pStyle w:val="Heading2"/>
      </w:pPr>
      <w:r>
        <w:t>Step Objective</w:t>
      </w:r>
    </w:p>
    <w:p>
      <w:r>
        <w:t>Generate a client-specific Engagement Schedule summarising the exact scope of work. The schedule is automatically produced from the client's responses and must be reviewed before the client signs the engagement.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Engagement Schedule is generated automatically and is read-only for the client.</w:t>
      </w:r>
    </w:p>
    <w:p>
      <w:pPr>
        <w:pStyle w:val="ListBullet"/>
      </w:pPr>
      <w:r>
        <w:t>It must be displayed before the consent and signature step.</w:t>
      </w:r>
    </w:p>
    <w:p>
      <w:pPr>
        <w:pStyle w:val="ListBullet"/>
      </w:pPr>
      <w:r>
        <w:t>Submission is blocked until the client opens the Engagement Schedule.</w:t>
      </w:r>
    </w:p>
    <w:p>
      <w:pPr>
        <w:pStyle w:val="ListBullet"/>
      </w:pPr>
      <w:r>
        <w:t>The schedule is versioned and stored with the signed engagement.</w:t>
      </w:r>
    </w:p>
    <w:p>
      <w:pPr>
        <w:pStyle w:val="ListBullet"/>
      </w:pPr>
      <w:r>
        <w:t>A written Engagement Acceptance Notice is still required after internal review.</w:t>
      </w:r>
    </w:p>
    <w:p>
      <w:pPr>
        <w:pStyle w:val="Heading2"/>
      </w:pPr>
      <w:r>
        <w:t>Schedule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ENG-001</w:t>
            </w:r>
          </w:p>
        </w:tc>
        <w:tc>
          <w:tcPr>
            <w:tcW w:type="dxa" w:w="1728"/>
          </w:tcPr>
          <w:p>
            <w:r>
              <w:t>Client Name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Client full legal name</w:t>
            </w:r>
          </w:p>
        </w:tc>
      </w:tr>
      <w:tr>
        <w:tc>
          <w:tcPr>
            <w:tcW w:type="dxa" w:w="1728"/>
          </w:tcPr>
          <w:p>
            <w:r>
              <w:t>ENG-002</w:t>
            </w:r>
          </w:p>
        </w:tc>
        <w:tc>
          <w:tcPr>
            <w:tcW w:type="dxa" w:w="1728"/>
          </w:tcPr>
          <w:p>
            <w:r>
              <w:t>Client Reference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Internal reference number</w:t>
            </w:r>
          </w:p>
        </w:tc>
      </w:tr>
      <w:tr>
        <w:tc>
          <w:tcPr>
            <w:tcW w:type="dxa" w:w="1728"/>
          </w:tcPr>
          <w:p>
            <w:r>
              <w:t>ENG-003</w:t>
            </w:r>
          </w:p>
        </w:tc>
        <w:tc>
          <w:tcPr>
            <w:tcW w:type="dxa" w:w="1728"/>
          </w:tcPr>
          <w:p>
            <w:r>
              <w:t>Accepted Service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Based on selected services</w:t>
            </w:r>
          </w:p>
        </w:tc>
      </w:tr>
      <w:tr>
        <w:tc>
          <w:tcPr>
            <w:tcW w:type="dxa" w:w="1728"/>
          </w:tcPr>
          <w:p>
            <w:r>
              <w:t>ENG-004</w:t>
            </w:r>
          </w:p>
        </w:tc>
        <w:tc>
          <w:tcPr>
            <w:tcW w:type="dxa" w:w="1728"/>
          </w:tcPr>
          <w:p>
            <w:r>
              <w:t>Tax Year / BAS Period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Relevant period</w:t>
            </w:r>
          </w:p>
        </w:tc>
      </w:tr>
      <w:tr>
        <w:tc>
          <w:tcPr>
            <w:tcW w:type="dxa" w:w="1728"/>
          </w:tcPr>
          <w:p>
            <w:r>
              <w:t>ENG-005</w:t>
            </w:r>
          </w:p>
        </w:tc>
        <w:tc>
          <w:tcPr>
            <w:tcW w:type="dxa" w:w="1728"/>
          </w:tcPr>
          <w:p>
            <w:r>
              <w:t>Deliverables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Return / BAS / Registration / Advice</w:t>
            </w:r>
          </w:p>
        </w:tc>
      </w:tr>
      <w:tr>
        <w:tc>
          <w:tcPr>
            <w:tcW w:type="dxa" w:w="1728"/>
          </w:tcPr>
          <w:p>
            <w:r>
              <w:t>ENG-006</w:t>
            </w:r>
          </w:p>
        </w:tc>
        <w:tc>
          <w:tcPr>
            <w:tcW w:type="dxa" w:w="1728"/>
          </w:tcPr>
          <w:p>
            <w:r>
              <w:t>Included Work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Scope included</w:t>
            </w:r>
          </w:p>
        </w:tc>
      </w:tr>
      <w:tr>
        <w:tc>
          <w:tcPr>
            <w:tcW w:type="dxa" w:w="1728"/>
          </w:tcPr>
          <w:p>
            <w:r>
              <w:t>ENG-007</w:t>
            </w:r>
          </w:p>
        </w:tc>
        <w:tc>
          <w:tcPr>
            <w:tcW w:type="dxa" w:w="1728"/>
          </w:tcPr>
          <w:p>
            <w:r>
              <w:t>Excluded Work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Out of scope services</w:t>
            </w:r>
          </w:p>
        </w:tc>
      </w:tr>
      <w:tr>
        <w:tc>
          <w:tcPr>
            <w:tcW w:type="dxa" w:w="1728"/>
          </w:tcPr>
          <w:p>
            <w:r>
              <w:t>ENG-008</w:t>
            </w:r>
          </w:p>
        </w:tc>
        <w:tc>
          <w:tcPr>
            <w:tcW w:type="dxa" w:w="1728"/>
          </w:tcPr>
          <w:p>
            <w:r>
              <w:t>Client Information Deadline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Completion deadline</w:t>
            </w:r>
          </w:p>
        </w:tc>
      </w:tr>
      <w:tr>
        <w:tc>
          <w:tcPr>
            <w:tcW w:type="dxa" w:w="1728"/>
          </w:tcPr>
          <w:p>
            <w:r>
              <w:t>ENG-009</w:t>
            </w:r>
          </w:p>
        </w:tc>
        <w:tc>
          <w:tcPr>
            <w:tcW w:type="dxa" w:w="1728"/>
          </w:tcPr>
          <w:p>
            <w:r>
              <w:t>Expected Completion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Target completion</w:t>
            </w:r>
          </w:p>
        </w:tc>
      </w:tr>
      <w:tr>
        <w:tc>
          <w:tcPr>
            <w:tcW w:type="dxa" w:w="1728"/>
          </w:tcPr>
          <w:p>
            <w:r>
              <w:t>ENG-010</w:t>
            </w:r>
          </w:p>
        </w:tc>
        <w:tc>
          <w:tcPr>
            <w:tcW w:type="dxa" w:w="1728"/>
          </w:tcPr>
          <w:p>
            <w:r>
              <w:t>Statutory Lodgement Deadline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Known statutory deadline</w:t>
            </w:r>
          </w:p>
        </w:tc>
      </w:tr>
      <w:tr>
        <w:tc>
          <w:tcPr>
            <w:tcW w:type="dxa" w:w="1728"/>
          </w:tcPr>
          <w:p>
            <w:r>
              <w:t>ENG-011</w:t>
            </w:r>
          </w:p>
        </w:tc>
        <w:tc>
          <w:tcPr>
            <w:tcW w:type="dxa" w:w="1728"/>
          </w:tcPr>
          <w:p>
            <w:r>
              <w:t>Fees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Fixed fee / hourly / GST</w:t>
            </w:r>
          </w:p>
        </w:tc>
      </w:tr>
      <w:tr>
        <w:tc>
          <w:tcPr>
            <w:tcW w:type="dxa" w:w="1728"/>
          </w:tcPr>
          <w:p>
            <w:r>
              <w:t>ENG-012</w:t>
            </w:r>
          </w:p>
        </w:tc>
        <w:tc>
          <w:tcPr>
            <w:tcW w:type="dxa" w:w="1728"/>
          </w:tcPr>
          <w:p>
            <w:r>
              <w:t>Urgent Work Limit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Emergency limit</w:t>
            </w:r>
          </w:p>
        </w:tc>
      </w:tr>
      <w:tr>
        <w:tc>
          <w:tcPr>
            <w:tcW w:type="dxa" w:w="1728"/>
          </w:tcPr>
          <w:p>
            <w:r>
              <w:t>ENG-013</w:t>
            </w:r>
          </w:p>
        </w:tc>
        <w:tc>
          <w:tcPr>
            <w:tcW w:type="dxa" w:w="1728"/>
          </w:tcPr>
          <w:p>
            <w:r>
              <w:t>Special Conditions</w:t>
            </w:r>
          </w:p>
        </w:tc>
        <w:tc>
          <w:tcPr>
            <w:tcW w:type="dxa" w:w="1728"/>
          </w:tcPr>
          <w:p>
            <w:r>
              <w:t>TextArea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Identity/payment/risk conditions</w:t>
            </w:r>
          </w:p>
        </w:tc>
      </w:tr>
      <w:tr>
        <w:tc>
          <w:tcPr>
            <w:tcW w:type="dxa" w:w="1728"/>
          </w:tcPr>
          <w:p>
            <w:r>
              <w:t>ENG-014</w:t>
            </w:r>
          </w:p>
        </w:tc>
        <w:tc>
          <w:tcPr>
            <w:tcW w:type="dxa" w:w="1728"/>
          </w:tcPr>
          <w:p>
            <w:r>
              <w:t>Responsible Accountant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Assigned reviewer</w:t>
            </w:r>
          </w:p>
        </w:tc>
      </w:tr>
      <w:tr>
        <w:tc>
          <w:tcPr>
            <w:tcW w:type="dxa" w:w="1728"/>
          </w:tcPr>
          <w:p>
            <w:r>
              <w:t>ENG-015</w:t>
            </w:r>
          </w:p>
        </w:tc>
        <w:tc>
          <w:tcPr>
            <w:tcW w:type="dxa" w:w="1728"/>
          </w:tcPr>
          <w:p>
            <w:r>
              <w:t>Engagement Term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Continuing until terminated</w:t>
            </w:r>
          </w:p>
        </w:tc>
      </w:tr>
      <w:tr>
        <w:tc>
          <w:tcPr>
            <w:tcW w:type="dxa" w:w="1728"/>
          </w:tcPr>
          <w:p>
            <w:r>
              <w:t>ENG-016</w:t>
            </w:r>
          </w:p>
        </w:tc>
        <w:tc>
          <w:tcPr>
            <w:tcW w:type="dxa" w:w="1728"/>
          </w:tcPr>
          <w:p>
            <w:r>
              <w:t>Acceptance Date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Populated after written acceptance</w:t>
            </w:r>
          </w:p>
        </w:tc>
      </w:tr>
    </w:tbl>
    <w:p>
      <w:pPr>
        <w:pStyle w:val="Heading2"/>
      </w:pPr>
      <w:r>
        <w:t>Generation Rules</w:t>
      </w:r>
    </w:p>
    <w:p>
      <w:pPr>
        <w:pStyle w:val="ListBullet"/>
      </w:pPr>
      <w:r>
        <w:t>Populate services from Step 1.</w:t>
      </w:r>
    </w:p>
    <w:p>
      <w:pPr>
        <w:pStyle w:val="ListBullet"/>
      </w:pPr>
      <w:r>
        <w:t>Populate client details from previous steps.</w:t>
      </w:r>
    </w:p>
    <w:p>
      <w:pPr>
        <w:pStyle w:val="ListBullet"/>
      </w:pPr>
      <w:r>
        <w:t>Calculate included/excluded work based on selected services.</w:t>
      </w:r>
    </w:p>
    <w:p>
      <w:pPr>
        <w:pStyle w:val="ListBullet"/>
      </w:pPr>
      <w:r>
        <w:t>Display configured fees and conditions.</w:t>
      </w:r>
    </w:p>
    <w:p>
      <w:pPr>
        <w:pStyle w:val="ListBullet"/>
      </w:pPr>
      <w:r>
        <w:t>Generate a PDF-ready summary.</w:t>
      </w:r>
    </w:p>
    <w:p>
      <w:pPr>
        <w:pStyle w:val="ListBullet"/>
      </w:pPr>
      <w:r>
        <w:t>Version every generated schedule.</w:t>
      </w:r>
    </w:p>
    <w:p>
      <w:pPr>
        <w:pStyle w:val="Heading2"/>
      </w:pPr>
      <w:r>
        <w:t>Client Workflow</w:t>
      </w:r>
    </w:p>
    <w:p>
      <w:pPr>
        <w:pStyle w:val="ListNumber"/>
      </w:pPr>
      <w:r>
        <w:t>System generates Engagement Schedule.</w:t>
      </w:r>
    </w:p>
    <w:p>
      <w:pPr>
        <w:pStyle w:val="ListNumber"/>
      </w:pPr>
      <w:r>
        <w:t>Client reviews summary.</w:t>
      </w:r>
    </w:p>
    <w:p>
      <w:pPr>
        <w:pStyle w:val="ListNumber"/>
      </w:pPr>
      <w:r>
        <w:t>Client opens full Terms &amp; Conditions.</w:t>
      </w:r>
    </w:p>
    <w:p>
      <w:pPr>
        <w:pStyle w:val="ListNumber"/>
      </w:pPr>
      <w:r>
        <w:t>Client proceeds to consent screen.</w:t>
      </w:r>
    </w:p>
    <w:p>
      <w:pPr>
        <w:pStyle w:val="Heading2"/>
      </w:pPr>
      <w:r>
        <w:t>Internal Workflow</w:t>
      </w:r>
    </w:p>
    <w:p>
      <w:pPr>
        <w:pStyle w:val="ListNumber"/>
      </w:pPr>
      <w:r>
        <w:t>Accountant reviews generated schedule.</w:t>
      </w:r>
    </w:p>
    <w:p>
      <w:pPr>
        <w:pStyle w:val="ListNumber"/>
      </w:pPr>
      <w:r>
        <w:t>Amend scope if required.</w:t>
      </w:r>
    </w:p>
    <w:p>
      <w:pPr>
        <w:pStyle w:val="ListNumber"/>
      </w:pPr>
      <w:r>
        <w:t>Issue Engagement Acceptance Notice after approval.</w:t>
      </w:r>
    </w:p>
    <w:p>
      <w:pPr>
        <w:pStyle w:val="ListNumber"/>
      </w:pPr>
      <w:r>
        <w:t>Store final accepted version with audit trail.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Schedule is generated automatically.</w:t>
      </w:r>
    </w:p>
    <w:p>
      <w:pPr>
        <w:pStyle w:val="ListNumber"/>
      </w:pPr>
      <w:r>
        <w:t>Client cannot edit generated values.</w:t>
      </w:r>
    </w:p>
    <w:p>
      <w:pPr>
        <w:pStyle w:val="ListNumber"/>
      </w:pPr>
      <w:r>
        <w:t>Client must open the schedule before signing.</w:t>
      </w:r>
    </w:p>
    <w:p>
      <w:pPr>
        <w:pStyle w:val="ListNumber"/>
      </w:pPr>
      <w:r>
        <w:t>Version number is stored.</w:t>
      </w:r>
    </w:p>
    <w:p>
      <w:pPr>
        <w:pStyle w:val="ListNumber"/>
      </w:pPr>
      <w:r>
        <w:t>Final PDF matches accepted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