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http://schemas.openxmlformats.org/officeDocument/2006/math">
  <w:body>
    <w:p>
      <w:pPr>
        <w:pStyle w:val="Heading2"/>
      </w:pPr>
      <w:r>
        <w:t xml:space="preserve">ATO audit and substantiation declaration</w:t>
      </w:r>
    </w:p>
    <w:p>
      <w:r>
        <w:rPr>
          <w:rFonts w:ascii="Aptos" w:eastAsia="Aptos" w:hAnsi="Aptos" w:cs="Aptos"/>
          <w:b/>
          <w:color w:val="005B3C"/>
          <w:sz w:val="20"/>
          <w:szCs w:val="20"/>
        </w:rPr>
        <w:t xml:space="preserve">Exact wording</w:t>
        <w:br/>
      </w:r>
      <w:r>
        <w:rPr>
          <w:rFonts w:ascii="Aptos" w:eastAsia="Aptos" w:hAnsi="Aptos" w:cs="Aptos"/>
          <w:color w:val="1F2A25"/>
          <w:sz w:val="18"/>
          <w:szCs w:val="18"/>
        </w:rPr>
        <w:t xml:space="preserve">I understand that the taxation system generally operates on self-assessment and the ATO may review or audit information after lodgment. I accept responsibility for providing complete and accurate information and for retaining and producing the records required to substantiate my income, deductions, GST credits, capital gains and other claims. Financially Up may assist with an ATO review or audit only where included in the Engagement Schedule or under a separate written engagement and fee. Financially Up cannot guarantee that the ATO will accept a claim or document.</w:t>
      </w:r>
    </w:p>
    <w:sectPr>
      <w:pgSz w:w="11906" w:h="16838"/>
      <w:pgMar w:top="1440" w:right="1440" w:bottom="1440" w:left="1440" w:header="708" w:footer="708"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Symbol" w:hAnsi="Symbol" w:hint="default"/>
      </w:rPr>
    </w:lvl>
  </w:abstractNum>
  <w:abstractNum w:abstractNumId="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Calibri" w:hAnsi="Calibri"/>
        <w:sz w:val="22"/>
        <w:szCs w:val="22"/>
      </w:rPr>
    </w:rPrDefault>
    <w:pPrDefault>
      <w:pPr>
        <w:spacing w:after="120" w:line="276" w:lineRule="auto"/>
      </w:pPr>
    </w:pPrDefault>
  </w:docDefaults>
  <w:style w:type="paragraph" w:default="1" w:styleId="Normal">
    <w:name w:val="Normal"/>
    <w:qFormat/>
  </w:style>
  <w:style w:type="paragraph" w:styleId="Heading1">
    <w:name w:val="heading 1"/>
    <w:basedOn w:val="Normal"/>
    <w:next w:val="Normal"/>
    <w:qFormat/>
    <w:pPr>
      <w:keepNext/>
      <w:spacing w:before="240" w:after="120"/>
      <w:outlineLvl w:val="0"/>
    </w:pPr>
    <w:rPr>
      <w:b/>
      <w:sz w:val="32"/>
      <w:szCs w:val="32"/>
    </w:rPr>
  </w:style>
  <w:style w:type="paragraph" w:styleId="Heading2">
    <w:name w:val="heading 2"/>
    <w:basedOn w:val="Normal"/>
    <w:next w:val="Normal"/>
    <w:qFormat/>
    <w:pPr>
      <w:keepNext/>
      <w:spacing w:before="240" w:after="120"/>
      <w:outlineLvl w:val="1"/>
    </w:pPr>
    <w:rPr>
      <w:b/>
      <w:sz w:val="28"/>
      <w:szCs w:val="28"/>
    </w:rPr>
  </w:style>
  <w:style w:type="paragraph" w:styleId="Heading3">
    <w:name w:val="heading 3"/>
    <w:basedOn w:val="Normal"/>
    <w:next w:val="Normal"/>
    <w:qFormat/>
    <w:pPr>
      <w:keepNext/>
      <w:spacing w:before="160" w:after="120"/>
      <w:outlineLvl w:val="2"/>
    </w:pPr>
    <w:rPr>
      <w:b/>
      <w:sz w:val="26"/>
      <w:szCs w:val="26"/>
    </w:rPr>
  </w:style>
  <w:style w:type="paragraph" w:styleId="Heading4">
    <w:name w:val="heading 4"/>
    <w:basedOn w:val="Normal"/>
    <w:next w:val="Normal"/>
    <w:qFormat/>
    <w:pPr>
      <w:keepNext/>
      <w:spacing w:before="160" w:after="120"/>
      <w:outlineLvl w:val="3"/>
    </w:pPr>
    <w:rPr>
      <w:b/>
      <w:sz w:val="24"/>
      <w:szCs w:val="24"/>
    </w:rPr>
  </w:style>
  <w:style w:type="paragraph" w:styleId="Heading5">
    <w:name w:val="heading 5"/>
    <w:basedOn w:val="Normal"/>
    <w:next w:val="Normal"/>
    <w:qFormat/>
    <w:pPr>
      <w:keepNext/>
      <w:spacing w:before="160" w:after="120"/>
      <w:outlineLvl w:val="4"/>
    </w:pPr>
    <w:rPr>
      <w:b/>
      <w:sz w:val="22"/>
      <w:szCs w:val="22"/>
    </w:rPr>
  </w:style>
  <w:style w:type="paragraph" w:styleId="Heading6">
    <w:name w:val="heading 6"/>
    <w:basedOn w:val="Normal"/>
    <w:next w:val="Normal"/>
    <w:qFormat/>
    <w:pPr>
      <w:keepNext/>
      <w:spacing w:before="160" w:after="120"/>
      <w:outlineLvl w:val="5"/>
    </w:pPr>
    <w:rPr>
      <w:b/>
      <w:sz w:val="22"/>
      <w:szCs w:val="22"/>
    </w:rPr>
  </w:style>
  <w:style w:type="paragraph" w:styleId="ListParagraph">
    <w:name w:val="List Paragraph"/>
    <w:basedOn w:val="Normal"/>
    <w:pPr>
      <w:ind w:left="720"/>
      <w:contextualSpacing/>
    </w:pPr>
  </w:style>
  <w:style w:type="character" w:styleId="Hyperlink">
    <w:name w:val="Hyperlink"/>
    <w:rPr>
      <w:color w:val="0563C1"/>
      <w:u w:val="single"/>
    </w:rPr>
  </w:style>
  <w:style w:type="paragraph" w:styleId="TOC1">
    <w:name w:val="toc 1"/>
    <w:basedOn w:val="Normal"/>
    <w:next w:val="Normal"/>
    <w:pPr>
      <w:spacing w:after="100"/>
    </w:pPr>
  </w:style>
  <w:style w:type="paragraph" w:styleId="TOC2">
    <w:name w:val="toc 2"/>
    <w:basedOn w:val="Normal"/>
    <w:next w:val="Normal"/>
    <w:pPr>
      <w:spacing w:after="100"/>
      <w:ind w:left="220"/>
    </w:pPr>
  </w:style>
  <w:style w:type="paragraph" w:styleId="TOC3">
    <w:name w:val="toc 3"/>
    <w:basedOn w:val="Normal"/>
    <w:next w:val="Normal"/>
    <w:pPr>
      <w:spacing w:after="100"/>
      <w:ind w:left="440"/>
    </w:pPr>
  </w:style>
  <w:style w:type="paragraph" w:styleId="TOC4">
    <w:name w:val="toc 4"/>
    <w:basedOn w:val="Normal"/>
    <w:next w:val="Normal"/>
    <w:pPr>
      <w:spacing w:after="100"/>
      <w:ind w:left="660"/>
    </w:pPr>
  </w:style>
  <w:style w:type="paragraph" w:styleId="TOC5">
    <w:name w:val="toc 5"/>
    <w:basedOn w:val="Normal"/>
    <w:next w:val="Normal"/>
    <w:pPr>
      <w:spacing w:after="100"/>
      <w:ind w:left="880"/>
    </w:pPr>
  </w:style>
  <w:style w:type="paragraph" w:styleId="TOC6">
    <w:name w:val="toc 6"/>
    <w:basedOn w:val="Normal"/>
    <w:next w:val="Normal"/>
    <w:pPr>
      <w:spacing w:after="100"/>
      <w:ind w:left="1100"/>
    </w:pPr>
  </w:style>
  <w:style w:type="paragraph" w:styleId="TOC7">
    <w:name w:val="toc 7"/>
    <w:basedOn w:val="Normal"/>
    <w:next w:val="Normal"/>
    <w:pPr>
      <w:spacing w:after="100"/>
      <w:ind w:left="1320"/>
    </w:pPr>
  </w:style>
  <w:style w:type="paragraph" w:styleId="TOC8">
    <w:name w:val="toc 8"/>
    <w:basedOn w:val="Normal"/>
    <w:next w:val="Normal"/>
    <w:pPr>
      <w:spacing w:after="100"/>
      <w:ind w:left="1540"/>
    </w:pPr>
  </w:style>
  <w:style w:type="paragraph" w:styleId="TOC9">
    <w:name w:val="toc 9"/>
    <w:basedOn w:val="Normal"/>
    <w:next w:val="Normal"/>
    <w:pPr>
      <w:spacing w:after="100"/>
      <w:ind w:left="1760"/>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