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Privacy Collection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360"/>
      </w:tblGrid>
      <w:tr>
        <w:tc>
          <w:tcPr>
            <w:tcW w:w="9360" w:type="dxa"/>
          </w:tcPr>
          <w:p>
            <w:r>
              <w:rPr>
                <w:rFonts w:ascii="Aptos" w:eastAsia="Aptos" w:hAnsi="Aptos" w:cs="Aptos"/>
                <w:b/>
                <w:color w:val="005B3C"/>
                <w:sz w:val="20"/>
                <w:szCs w:val="20"/>
              </w:rPr>
              <w:t xml:space="preserve">Exact client-facing notice</w:t>
              <w:br/>
            </w:r>
            <w:r>
              <w:rPr>
                <w:rFonts w:ascii="Aptos" w:eastAsia="Aptos" w:hAnsi="Aptos" w:cs="Aptos"/>
                <w:color w:val="1F2A25"/>
                <w:sz w:val="18"/>
                <w:szCs w:val="18"/>
              </w:rPr>
              <w:t xml:space="preserve">Financially Up Pty Ltd collects personal, taxation, financial, business, identity, contact and, where relevant, residency, visa and AML/CTF information to assess and accept engagements, verify identity and authority, provide accounting and taxation services, communicate with you and authorities, manage fees, prevent fraud, maintain security, meet professional obligations and comply with taxation, privacy, sanctions and AML/CTF laws. We may collect information from you and, with authority or where permitted, from the ATO, ABR, previous advisers, government agencies, public registers, identity providers and authorised persons. We may disclose relevant information to government authorities where authorised or required and to approved technology, cloud, identity-verification, electronic-signature, accounting, taxation, communications, security, professional-support and other service providers reasonably required to provide and support the agreed services. Information may also be accessed by appropriately authorised and supervised Financially Up personnel located in Australia and overseas, subject to confidentiality, security, access-control and supervision requirements. If you do not provide required information, we may be unable to verify identity, accept the engagement or provide the service. Our Privacy Policy explains security, overseas access, retention, access, correction, complaints and eligible data breaches.</w:t>
            </w:r>
          </w:p>
        </w:tc>
      </w:tr>
    </w:tbl>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