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Technology, Outsourcing and Overseas Processing Notice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9360"/>
      </w:tblGrid>
      <w:tr>
        <w:tc>
          <w:tcPr>
            <w:tcW w:w="9360" w:type="dxa"/>
          </w:tcPr>
          <w:p>
            <w:r>
              <w:rPr>
                <w:rFonts w:ascii="Aptos" w:eastAsia="Aptos" w:hAnsi="Aptos" w:cs="Aptos"/>
                <w:b/>
                <w:color w:val="005B3C"/>
                <w:sz w:val="20"/>
                <w:szCs w:val="20"/>
              </w:rPr>
              <w:t xml:space="preserve">Client-facing notice</w:t>
              <w:br/>
            </w:r>
            <w:r>
              <w:rPr>
                <w:rFonts w:ascii="Aptos" w:eastAsia="Aptos" w:hAnsi="Aptos" w:cs="Aptos"/>
                <w:color w:val="1F2A25"/>
                <w:sz w:val="18"/>
                <w:szCs w:val="18"/>
              </w:rPr>
              <w:t xml:space="preserve">Financially Up may use approved professional software, cloud and data-hosting services, secure client portals, electronic-signature systems, identity-verification services, taxation and accounting software, document-management systems, communications platforms, payment services, workflow and automation tools, cyber-security services, backup services, technical-support providers and other professional service providers reasonably required to deliver and support the agreed services. Financially Up may also use appropriately qualified, authorised and supervised employees, contractors and service personnel located in Australia and overseas to perform assigned administrative, data-processing, reconciliation, bookkeeping, document-management, tax-preparation support, technical-support and quality-control activities. Client information may therefore be collected, accessed, processed, transmitted or securely stored in Australia and overseas locations in which these providers or authorised personnel operate. Access will be limited to information reasonably required for the assigned purpose and will be subject to confidentiality obligations, access controls, security measures, contractual safeguards, training and supervision. Tax agent and BAS agent services remain subject to the supervision and review of an Australian registered tax agent, and Financially Up remains responsible for the professional services it provides. By accepting this engagement, the client authorises these arrangements and acknowledges that Financially Up may change or replace providers, systems, infrastructure or personnel from time to time without requiring a new engagement agreement, provided that the nature and purpose of processing remain substantially consistent with the engagement and Financially Up continues to comply with applicable confidentiality, privacy, professional and security obligations. Financially Up will give additional notice and obtain further permission where required by law or professional standards, including where a change materially expands the purpose of disclosure, the categories of information involved, biometric processing, the nature or extent of outsourced professional services, or overseas access beyond the arrangements reasonably contemplated by this notice.</w:t>
            </w:r>
          </w:p>
        </w:tc>
      </w:tr>
    </w:tbl>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