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Financially Up</w:t>
      </w:r>
    </w:p>
    <w:p>
      <w:pPr>
        <w:jc w:val="center"/>
      </w:pPr>
      <w:r>
        <w:rPr>
          <w:b/>
          <w:sz w:val="28"/>
        </w:rPr>
        <w:t>Company Registration Terms of Engagement</w:t>
      </w:r>
    </w:p>
    <w:p>
      <w:pPr>
        <w:jc w:val="center"/>
      </w:pPr>
      <w:r>
        <w:rPr>
          <w:b/>
        </w:rPr>
        <w:t>Document 2 - Legal Document Specification for the Company Registration Form</w:t>
      </w:r>
    </w:p>
    <w:p/>
    <w:p>
      <w:r>
        <w:rPr>
          <w:b/>
        </w:rPr>
        <w:t xml:space="preserve">Document Type: </w:t>
      </w:r>
      <w:r>
        <w:t>Client-facing legal Terms of Engagement</w:t>
      </w:r>
    </w:p>
    <w:p>
      <w:r>
        <w:rPr>
          <w:b/>
        </w:rPr>
        <w:t xml:space="preserve">Primary Purpose: </w:t>
      </w:r>
      <w:r>
        <w:t>Define the contractual/service relationship between Financially Up and the Client</w:t>
      </w:r>
    </w:p>
    <w:p>
      <w:r>
        <w:rPr>
          <w:b/>
        </w:rPr>
        <w:t xml:space="preserve">Form Relationship: </w:t>
      </w:r>
      <w:r>
        <w:t>Accepted before or at commencement of the Company Registration Intake Form</w:t>
      </w:r>
    </w:p>
    <w:p>
      <w:r>
        <w:rPr>
          <w:b/>
        </w:rPr>
        <w:t xml:space="preserve">Primary Form Placement: </w:t>
      </w:r>
      <w:r>
        <w:t>Before/around Step 1, with access throughout the form</w:t>
      </w:r>
    </w:p>
    <w:p>
      <w:r>
        <w:rPr>
          <w:b/>
        </w:rPr>
        <w:t xml:space="preserve">Version: </w:t>
      </w:r>
      <w:r>
        <w:t>1.0</w:t>
      </w:r>
    </w:p>
    <w:p>
      <w:r>
        <w:rPr>
          <w:b/>
        </w:rPr>
        <w:t xml:space="preserve">Effective Date: </w:t>
      </w:r>
      <w:r>
        <w:t>[Insert Effective Date]</w:t>
      </w:r>
    </w:p>
    <w:p>
      <w:pPr>
        <w:pStyle w:val="Heading1"/>
      </w:pPr>
      <w:r>
        <w:t>1. Important Role of Document 2</w:t>
      </w:r>
    </w:p>
    <w:p>
      <w:r>
        <w:t>Document 2 is the general Terms of Engagement for the Company Registration service. It is not the specification for ordinary form fields. It is a legal document that governs the relationship between Financially Up and the Client and is linked to the client-facing form.</w:t>
      </w:r>
    </w:p>
    <w:p>
      <w:r>
        <w:rPr>
          <w:b/>
        </w:rPr>
        <w:t xml:space="preserve">Implementation note: </w:t>
      </w:r>
      <w:r>
        <w:t>The AI coding agent must not duplicate the full Terms of Engagement on every form step. The Client should accept the Terms once, and the system must retain the exact version accepted.</w:t>
      </w:r>
    </w:p>
    <w:p>
      <w:pPr>
        <w:pStyle w:val="Heading1"/>
      </w:pPr>
      <w:r>
        <w:t>2. Where Document 2 Appears in the Form</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Location</w:t>
            </w:r>
          </w:p>
        </w:tc>
        <w:tc>
          <w:tcPr>
            <w:tcW w:type="dxa" w:w="2556"/>
          </w:tcPr>
          <w:p>
            <w:r>
              <w:t>UI Treatment</w:t>
            </w:r>
          </w:p>
        </w:tc>
        <w:tc>
          <w:tcPr>
            <w:tcW w:type="dxa" w:w="2556"/>
          </w:tcPr>
          <w:p>
            <w:r>
              <w:t>Client Action</w:t>
            </w:r>
          </w:p>
        </w:tc>
        <w:tc>
          <w:tcPr>
            <w:tcW w:type="dxa" w:w="2556"/>
          </w:tcPr>
          <w:p>
            <w:r>
              <w:t>Backend Requirement</w:t>
            </w:r>
          </w:p>
        </w:tc>
      </w:tr>
      <w:tr>
        <w:tc>
          <w:tcPr>
            <w:tcW w:type="dxa" w:w="2556"/>
          </w:tcPr>
          <w:p>
            <w:r>
              <w:t>Before Step 1</w:t>
            </w:r>
          </w:p>
        </w:tc>
        <w:tc>
          <w:tcPr>
            <w:tcW w:type="dxa" w:w="2556"/>
          </w:tcPr>
          <w:p>
            <w:r>
              <w:t>Show Terms of Engagement introduction and link/button to full document</w:t>
            </w:r>
          </w:p>
        </w:tc>
        <w:tc>
          <w:tcPr>
            <w:tcW w:type="dxa" w:w="2556"/>
          </w:tcPr>
          <w:p>
            <w:r>
              <w:t>Read/review and accept</w:t>
            </w:r>
          </w:p>
        </w:tc>
        <w:tc>
          <w:tcPr>
            <w:tcW w:type="dxa" w:w="2556"/>
          </w:tcPr>
          <w:p>
            <w:r>
              <w:t>Create acceptance record</w:t>
            </w:r>
          </w:p>
        </w:tc>
      </w:tr>
      <w:tr>
        <w:tc>
          <w:tcPr>
            <w:tcW w:type="dxa" w:w="2556"/>
          </w:tcPr>
          <w:p>
            <w:r>
              <w:t>Step 1</w:t>
            </w:r>
          </w:p>
        </w:tc>
        <w:tc>
          <w:tcPr>
            <w:tcW w:type="dxa" w:w="2556"/>
          </w:tcPr>
          <w:p>
            <w:r>
              <w:t>Allow client to reopen/view the Terms</w:t>
            </w:r>
          </w:p>
        </w:tc>
        <w:tc>
          <w:tcPr>
            <w:tcW w:type="dxa" w:w="2556"/>
          </w:tcPr>
          <w:p>
            <w:r>
              <w:t>No second acceptance required</w:t>
            </w:r>
          </w:p>
        </w:tc>
        <w:tc>
          <w:tcPr>
            <w:tcW w:type="dxa" w:w="2556"/>
          </w:tcPr>
          <w:p>
            <w:r>
              <w:t>Reference existing acceptance</w:t>
            </w:r>
          </w:p>
        </w:tc>
      </w:tr>
      <w:tr>
        <w:tc>
          <w:tcPr>
            <w:tcW w:type="dxa" w:w="2556"/>
          </w:tcPr>
          <w:p>
            <w:r>
              <w:t>Steps 2-12</w:t>
            </w:r>
          </w:p>
        </w:tc>
        <w:tc>
          <w:tcPr>
            <w:tcW w:type="dxa" w:w="2556"/>
          </w:tcPr>
          <w:p>
            <w:r>
              <w:t>Terms remain accessible from the form</w:t>
            </w:r>
          </w:p>
        </w:tc>
        <w:tc>
          <w:tcPr>
            <w:tcW w:type="dxa" w:w="2556"/>
          </w:tcPr>
          <w:p>
            <w:r>
              <w:t>No repeated acceptance</w:t>
            </w:r>
          </w:p>
        </w:tc>
        <w:tc>
          <w:tcPr>
            <w:tcW w:type="dxa" w:w="2556"/>
          </w:tcPr>
          <w:p>
            <w:r>
              <w:t>No duplicate acceptance record</w:t>
            </w:r>
          </w:p>
        </w:tc>
      </w:tr>
      <w:tr>
        <w:tc>
          <w:tcPr>
            <w:tcW w:type="dxa" w:w="2556"/>
          </w:tcPr>
          <w:p>
            <w:r>
              <w:t>Final submission</w:t>
            </w:r>
          </w:p>
        </w:tc>
        <w:tc>
          <w:tcPr>
            <w:tcW w:type="dxa" w:w="2556"/>
          </w:tcPr>
          <w:p>
            <w:r>
              <w:t>Show accepted Terms version in review/confirmation</w:t>
            </w:r>
          </w:p>
        </w:tc>
        <w:tc>
          <w:tcPr>
            <w:tcW w:type="dxa" w:w="2556"/>
          </w:tcPr>
          <w:p>
            <w:r>
              <w:t>Confirm final submission</w:t>
            </w:r>
          </w:p>
        </w:tc>
        <w:tc>
          <w:tcPr>
            <w:tcW w:type="dxa" w:w="2556"/>
          </w:tcPr>
          <w:p>
            <w:r>
              <w:t>Lock accepted version to engagement</w:t>
            </w:r>
          </w:p>
        </w:tc>
      </w:tr>
      <w:tr>
        <w:tc>
          <w:tcPr>
            <w:tcW w:type="dxa" w:w="2556"/>
          </w:tcPr>
          <w:p>
            <w:r>
              <w:t>After submission</w:t>
            </w:r>
          </w:p>
        </w:tc>
        <w:tc>
          <w:tcPr>
            <w:tcW w:type="dxa" w:w="2556"/>
          </w:tcPr>
          <w:p>
            <w:r>
              <w:t>Retain accepted legal document/version</w:t>
            </w:r>
          </w:p>
        </w:tc>
        <w:tc>
          <w:tcPr>
            <w:tcW w:type="dxa" w:w="2556"/>
          </w:tcPr>
          <w:p>
            <w:r>
              <w:t>No action</w:t>
            </w:r>
          </w:p>
        </w:tc>
        <w:tc>
          <w:tcPr>
            <w:tcW w:type="dxa" w:w="2556"/>
          </w:tcPr>
          <w:p>
            <w:r>
              <w:t>Immutable audit record</w:t>
            </w:r>
          </w:p>
        </w:tc>
      </w:tr>
    </w:tbl>
    <w:p>
      <w:pPr>
        <w:pStyle w:val="Heading1"/>
      </w:pPr>
      <w:r>
        <w:t>3. Relationship to Other Legal Documents</w:t>
      </w:r>
    </w:p>
    <w:tbl>
      <w:tblPr>
        <w:tblStyle w:val="TableGrid"/>
        <w:tblW w:type="auto" w:w="0"/>
        <w:tblLook w:firstColumn="1" w:firstRow="1" w:lastColumn="0" w:lastRow="0" w:noHBand="0" w:noVBand="1" w:val="04A0"/>
      </w:tblPr>
      <w:tblGrid>
        <w:gridCol w:w="3408"/>
        <w:gridCol w:w="3408"/>
        <w:gridCol w:w="3408"/>
      </w:tblGrid>
      <w:tr>
        <w:tc>
          <w:tcPr>
            <w:tcW w:type="dxa" w:w="3408"/>
          </w:tcPr>
          <w:p>
            <w:r>
              <w:t>Document</w:t>
            </w:r>
          </w:p>
        </w:tc>
        <w:tc>
          <w:tcPr>
            <w:tcW w:type="dxa" w:w="3408"/>
          </w:tcPr>
          <w:p>
            <w:r>
              <w:t>Relationship to Document 2</w:t>
            </w:r>
          </w:p>
        </w:tc>
        <w:tc>
          <w:tcPr>
            <w:tcW w:type="dxa" w:w="3408"/>
          </w:tcPr>
          <w:p>
            <w:r>
              <w:t>Where Used</w:t>
            </w:r>
          </w:p>
        </w:tc>
      </w:tr>
      <w:tr>
        <w:tc>
          <w:tcPr>
            <w:tcW w:type="dxa" w:w="3408"/>
          </w:tcPr>
          <w:p>
            <w:r>
              <w:t>Document 1 - Form Specification</w:t>
            </w:r>
          </w:p>
        </w:tc>
        <w:tc>
          <w:tcPr>
            <w:tcW w:type="dxa" w:w="3408"/>
          </w:tcPr>
          <w:p>
            <w:r>
              <w:t>Defines fields and workflow; Document 2 governs the engagement around that workflow.</w:t>
            </w:r>
          </w:p>
        </w:tc>
        <w:tc>
          <w:tcPr>
            <w:tcW w:type="dxa" w:w="3408"/>
          </w:tcPr>
          <w:p>
            <w:r>
              <w:t>12-step form</w:t>
            </w:r>
          </w:p>
        </w:tc>
      </w:tr>
      <w:tr>
        <w:tc>
          <w:tcPr>
            <w:tcW w:type="dxa" w:w="3408"/>
          </w:tcPr>
          <w:p>
            <w:r>
              <w:t>Document 3 - Privacy Collection Notice</w:t>
            </w:r>
          </w:p>
        </w:tc>
        <w:tc>
          <w:tcPr>
            <w:tcW w:type="dxa" w:w="3408"/>
          </w:tcPr>
          <w:p>
            <w:r>
              <w:t>Separate privacy collection notice; must not be treated as the Terms of Engagement.</w:t>
            </w:r>
          </w:p>
        </w:tc>
        <w:tc>
          <w:tcPr>
            <w:tcW w:type="dxa" w:w="3408"/>
          </w:tcPr>
          <w:p>
            <w:r>
              <w:t>Before/during personal information collection</w:t>
            </w:r>
          </w:p>
        </w:tc>
      </w:tr>
      <w:tr>
        <w:tc>
          <w:tcPr>
            <w:tcW w:type="dxa" w:w="3408"/>
          </w:tcPr>
          <w:p>
            <w:r>
              <w:t>Document 4 - Client Declaration, Consent &amp; Authority</w:t>
            </w:r>
          </w:p>
        </w:tc>
        <w:tc>
          <w:tcPr>
            <w:tcW w:type="dxa" w:w="3408"/>
          </w:tcPr>
          <w:p>
            <w:r>
              <w:t>Separate final declarations and authorities.</w:t>
            </w:r>
          </w:p>
        </w:tc>
        <w:tc>
          <w:tcPr>
            <w:tcW w:type="dxa" w:w="3408"/>
          </w:tcPr>
          <w:p>
            <w:r>
              <w:t>Step 12</w:t>
            </w:r>
          </w:p>
        </w:tc>
      </w:tr>
      <w:tr>
        <w:tc>
          <w:tcPr>
            <w:tcW w:type="dxa" w:w="3408"/>
          </w:tcPr>
          <w:p>
            <w:r>
              <w:t>Document 5 - Director/Secretary Consent</w:t>
            </w:r>
          </w:p>
        </w:tc>
        <w:tc>
          <w:tcPr>
            <w:tcW w:type="dxa" w:w="3408"/>
          </w:tcPr>
          <w:p>
            <w:r>
              <w:t>Separate consent for each applicable officeholder.</w:t>
            </w:r>
          </w:p>
        </w:tc>
        <w:tc>
          <w:tcPr>
            <w:tcW w:type="dxa" w:w="3408"/>
          </w:tcPr>
          <w:p>
            <w:r>
              <w:t>Step 4</w:t>
            </w:r>
          </w:p>
        </w:tc>
      </w:tr>
      <w:tr>
        <w:tc>
          <w:tcPr>
            <w:tcW w:type="dxa" w:w="3408"/>
          </w:tcPr>
          <w:p>
            <w:r>
              <w:t>Document 6 - Member/Shareholder Consent</w:t>
            </w:r>
          </w:p>
        </w:tc>
        <w:tc>
          <w:tcPr>
            <w:tcW w:type="dxa" w:w="3408"/>
          </w:tcPr>
          <w:p>
            <w:r>
              <w:t>Separate consent for each applicable member.</w:t>
            </w:r>
          </w:p>
        </w:tc>
        <w:tc>
          <w:tcPr>
            <w:tcW w:type="dxa" w:w="3408"/>
          </w:tcPr>
          <w:p>
            <w:r>
              <w:t>Step 5</w:t>
            </w:r>
          </w:p>
        </w:tc>
      </w:tr>
      <w:tr>
        <w:tc>
          <w:tcPr>
            <w:tcW w:type="dxa" w:w="3408"/>
          </w:tcPr>
          <w:p>
            <w:r>
              <w:t>Document 7 - Registered Office Address Service Terms</w:t>
            </w:r>
          </w:p>
        </w:tc>
        <w:tc>
          <w:tcPr>
            <w:tcW w:type="dxa" w:w="3408"/>
          </w:tcPr>
          <w:p>
            <w:r>
              <w:t>Additional service-specific terms where address service is selected.</w:t>
            </w:r>
          </w:p>
        </w:tc>
        <w:tc>
          <w:tcPr>
            <w:tcW w:type="dxa" w:w="3408"/>
          </w:tcPr>
          <w:p>
            <w:r>
              <w:t>Step 3, conditional</w:t>
            </w:r>
          </w:p>
        </w:tc>
      </w:tr>
      <w:tr>
        <w:tc>
          <w:tcPr>
            <w:tcW w:type="dxa" w:w="3408"/>
          </w:tcPr>
          <w:p>
            <w:r>
              <w:t>Document 8 - Nominee/Trustee/Role-Holder Documents</w:t>
            </w:r>
          </w:p>
        </w:tc>
        <w:tc>
          <w:tcPr>
            <w:tcW w:type="dxa" w:w="3408"/>
          </w:tcPr>
          <w:p>
            <w:r>
              <w:t>Additional legal documents for special structures.</w:t>
            </w:r>
          </w:p>
        </w:tc>
        <w:tc>
          <w:tcPr>
            <w:tcW w:type="dxa" w:w="3408"/>
          </w:tcPr>
          <w:p>
            <w:r>
              <w:t>Step 9, conditional</w:t>
            </w:r>
          </w:p>
        </w:tc>
      </w:tr>
      <w:tr>
        <w:tc>
          <w:tcPr>
            <w:tcW w:type="dxa" w:w="3408"/>
          </w:tcPr>
          <w:p>
            <w:r>
              <w:t>Document 9 - Admin/AML-CTF Review</w:t>
            </w:r>
          </w:p>
        </w:tc>
        <w:tc>
          <w:tcPr>
            <w:tcW w:type="dxa" w:w="3408"/>
          </w:tcPr>
          <w:p>
            <w:r>
              <w:t>Internal workflow; not part of the client Terms.</w:t>
            </w:r>
          </w:p>
        </w:tc>
        <w:tc>
          <w:tcPr>
            <w:tcW w:type="dxa" w:w="3408"/>
          </w:tcPr>
          <w:p>
            <w:r>
              <w:t>Admin only</w:t>
            </w:r>
          </w:p>
        </w:tc>
      </w:tr>
      <w:tr>
        <w:tc>
          <w:tcPr>
            <w:tcW w:type="dxa" w:w="3408"/>
          </w:tcPr>
          <w:p>
            <w:r>
              <w:t>Document 10 - PDF Specification</w:t>
            </w:r>
          </w:p>
        </w:tc>
        <w:tc>
          <w:tcPr>
            <w:tcW w:type="dxa" w:w="3408"/>
          </w:tcPr>
          <w:p>
            <w:r>
              <w:t>Defines how the accepted engagement and legal records are represented in output PDFs.</w:t>
            </w:r>
          </w:p>
        </w:tc>
        <w:tc>
          <w:tcPr>
            <w:tcW w:type="dxa" w:w="3408"/>
          </w:tcPr>
          <w:p>
            <w:r>
              <w:t>Post-submission</w:t>
            </w:r>
          </w:p>
        </w:tc>
      </w:tr>
    </w:tbl>
    <w:p>
      <w:pPr>
        <w:pStyle w:val="Heading1"/>
      </w:pPr>
      <w:r>
        <w:t>4. Parties to the Engagement</w:t>
      </w:r>
    </w:p>
    <w:p>
      <w:r>
        <w:t>The engagement is between Financially Up and the Client identified in the Company Registration Client Intake Form. Where the Client is an entity, the person accepting these Terms must have authority to act for that entity. Financially Up may request evidence of authority.</w:t>
      </w:r>
    </w:p>
    <w:p>
      <w:pPr>
        <w:pStyle w:val="Heading1"/>
      </w:pPr>
      <w:r>
        <w:t>5. Purpose and Nature of the Engagement</w:t>
      </w:r>
    </w:p>
    <w:p>
      <w:r>
        <w:t>The Client engages Financially Up to provide the company registration and any specifically accepted additional services identified in the Client Intake Form and accepted service quotation.</w:t>
      </w:r>
    </w:p>
    <w:p>
      <w:pPr>
        <w:pStyle w:val="ListBullet"/>
      </w:pPr>
      <w:r>
        <w:t>The primary service is assistance with registration of a new Australian company.</w:t>
      </w:r>
    </w:p>
    <w:p>
      <w:pPr>
        <w:pStyle w:val="ListBullet"/>
      </w:pPr>
      <w:r>
        <w:t>Additional services only become part of the engagement when specifically selected and accepted.</w:t>
      </w:r>
    </w:p>
    <w:p>
      <w:pPr>
        <w:pStyle w:val="ListBullet"/>
      </w:pPr>
      <w:r>
        <w:t>Financially Up may request information or supporting documents necessary to perform the service.</w:t>
      </w:r>
    </w:p>
    <w:p>
      <w:pPr>
        <w:pStyle w:val="ListBullet"/>
      </w:pPr>
      <w:r>
        <w:t>Financially Up may communicate with relevant authorities or third parties where authorised and necessary.</w:t>
      </w:r>
    </w:p>
    <w:p>
      <w:pPr>
        <w:pStyle w:val="Heading1"/>
      </w:pPr>
      <w:r>
        <w:t>6. Scope of Company Registration Service</w:t>
      </w:r>
    </w:p>
    <w:p>
      <w:pPr>
        <w:pStyle w:val="ListBullet"/>
      </w:pPr>
      <w:r>
        <w:t>Collect information required for company registration.</w:t>
      </w:r>
    </w:p>
    <w:p>
      <w:pPr>
        <w:pStyle w:val="ListBullet"/>
      </w:pPr>
      <w:r>
        <w:t>Review submitted information for completeness.</w:t>
      </w:r>
    </w:p>
    <w:p>
      <w:pPr>
        <w:pStyle w:val="ListBullet"/>
      </w:pPr>
      <w:r>
        <w:t>Conduct required customer due diligence and verification.</w:t>
      </w:r>
    </w:p>
    <w:p>
      <w:pPr>
        <w:pStyle w:val="ListBullet"/>
      </w:pPr>
      <w:r>
        <w:t>Identify proposed directors and secretaries.</w:t>
      </w:r>
    </w:p>
    <w:p>
      <w:pPr>
        <w:pStyle w:val="ListBullet"/>
      </w:pPr>
      <w:r>
        <w:t>Identify proposed members/shareholders.</w:t>
      </w:r>
    </w:p>
    <w:p>
      <w:pPr>
        <w:pStyle w:val="ListBullet"/>
      </w:pPr>
      <w:r>
        <w:t>Record share structure information.</w:t>
      </w:r>
    </w:p>
    <w:p>
      <w:pPr>
        <w:pStyle w:val="ListBullet"/>
      </w:pPr>
      <w:r>
        <w:t>Identify beneficial owners and controllers.</w:t>
      </w:r>
    </w:p>
    <w:p>
      <w:pPr>
        <w:pStyle w:val="ListBullet"/>
      </w:pPr>
      <w:r>
        <w:t>Prepare registration information.</w:t>
      </w:r>
    </w:p>
    <w:p>
      <w:pPr>
        <w:pStyle w:val="ListBullet"/>
      </w:pPr>
      <w:r>
        <w:t>Prepare registration documentation.</w:t>
      </w:r>
    </w:p>
    <w:p>
      <w:pPr>
        <w:pStyle w:val="ListBullet"/>
      </w:pPr>
      <w:r>
        <w:t>Lodge authorised information with ASIC where included in the service.</w:t>
      </w:r>
    </w:p>
    <w:p>
      <w:pPr>
        <w:pStyle w:val="ListBullet"/>
      </w:pPr>
      <w:r>
        <w:t>Communicate with the Client about registration requirements.</w:t>
      </w:r>
    </w:p>
    <w:p>
      <w:pPr>
        <w:pStyle w:val="ListBullet"/>
      </w:pPr>
      <w:r>
        <w:t>Request additional information where required.</w:t>
      </w:r>
    </w:p>
    <w:p>
      <w:pPr>
        <w:pStyle w:val="ListBullet"/>
      </w:pPr>
      <w:r>
        <w:t>Provide registration confirmation/documents received after successful registration where applicable.</w:t>
      </w:r>
    </w:p>
    <w:p>
      <w:pPr>
        <w:pStyle w:val="Heading1"/>
      </w:pPr>
      <w:r>
        <w:t>7. Services Not Included Unless Separately Agreed</w:t>
      </w:r>
    </w:p>
    <w:p>
      <w:pPr>
        <w:pStyle w:val="ListBullet"/>
      </w:pPr>
      <w:r>
        <w:t>Legal advice.</w:t>
      </w:r>
    </w:p>
    <w:p>
      <w:pPr>
        <w:pStyle w:val="ListBullet"/>
      </w:pPr>
      <w:r>
        <w:t>Bespoke shareholder agreement drafting or review.</w:t>
      </w:r>
    </w:p>
    <w:p>
      <w:pPr>
        <w:pStyle w:val="ListBullet"/>
      </w:pPr>
      <w:r>
        <w:t>Complex company constitution drafting or legal review.</w:t>
      </w:r>
    </w:p>
    <w:p>
      <w:pPr>
        <w:pStyle w:val="ListBullet"/>
      </w:pPr>
      <w:r>
        <w:t>Trust establishment.</w:t>
      </w:r>
    </w:p>
    <w:p>
      <w:pPr>
        <w:pStyle w:val="ListBullet"/>
      </w:pPr>
      <w:r>
        <w:t>Legal advice concerning nominee arrangements.</w:t>
      </w:r>
    </w:p>
    <w:p>
      <w:pPr>
        <w:pStyle w:val="ListBullet"/>
      </w:pPr>
      <w:r>
        <w:t>Financial product or investment advice.</w:t>
      </w:r>
    </w:p>
    <w:p>
      <w:pPr>
        <w:pStyle w:val="ListBullet"/>
      </w:pPr>
      <w:r>
        <w:t>Insolvency advice.</w:t>
      </w:r>
    </w:p>
    <w:p>
      <w:pPr>
        <w:pStyle w:val="ListBullet"/>
      </w:pPr>
      <w:r>
        <w:t>Litigation advice.</w:t>
      </w:r>
    </w:p>
    <w:p>
      <w:pPr>
        <w:pStyle w:val="ListBullet"/>
      </w:pPr>
      <w:r>
        <w:t>Employment law advice.</w:t>
      </w:r>
    </w:p>
    <w:p>
      <w:pPr>
        <w:pStyle w:val="ListBullet"/>
      </w:pPr>
      <w:r>
        <w:t>Immigration advice.</w:t>
      </w:r>
    </w:p>
    <w:p>
      <w:pPr>
        <w:pStyle w:val="ListBullet"/>
      </w:pPr>
      <w:r>
        <w:t>Property law advice.</w:t>
      </w:r>
    </w:p>
    <w:p>
      <w:pPr>
        <w:pStyle w:val="ListBullet"/>
      </w:pPr>
      <w:r>
        <w:t>Commercial contract drafting.</w:t>
      </w:r>
    </w:p>
    <w:p>
      <w:pPr>
        <w:pStyle w:val="ListBullet"/>
      </w:pPr>
      <w:r>
        <w:t>Detailed corporate restructuring.</w:t>
      </w:r>
    </w:p>
    <w:p>
      <w:pPr>
        <w:pStyle w:val="ListBullet"/>
      </w:pPr>
      <w:r>
        <w:t>Independent valuation.</w:t>
      </w:r>
    </w:p>
    <w:p>
      <w:pPr>
        <w:pStyle w:val="ListBullet"/>
      </w:pPr>
      <w:r>
        <w:t>Audit or assurance services.</w:t>
      </w:r>
    </w:p>
    <w:p>
      <w:pPr>
        <w:pStyle w:val="ListBullet"/>
      </w:pPr>
      <w:r>
        <w:t>Independent verification of every statement supplied by the Client.</w:t>
      </w:r>
    </w:p>
    <w:p>
      <w:pPr>
        <w:pStyle w:val="ListBullet"/>
      </w:pPr>
      <w:r>
        <w:t>Ongoing accounting, tax or ASIC compliance services unless separately agreed.</w:t>
      </w:r>
    </w:p>
    <w:p>
      <w:pPr>
        <w:pStyle w:val="Heading1"/>
      </w:pPr>
      <w:r>
        <w:t>8. ASIC Registration</w:t>
      </w:r>
    </w:p>
    <w:p>
      <w:pPr>
        <w:pStyle w:val="ListBullet"/>
      </w:pPr>
      <w:r>
        <w:t>Financially Up prepares and/or lodges registration information based on Client instructions and supplied information.</w:t>
      </w:r>
    </w:p>
    <w:p>
      <w:pPr>
        <w:pStyle w:val="ListBullet"/>
      </w:pPr>
      <w:r>
        <w:t>ASIC determines whether registration requirements are satisfied.</w:t>
      </w:r>
    </w:p>
    <w:p>
      <w:pPr>
        <w:pStyle w:val="ListBullet"/>
      </w:pPr>
      <w:r>
        <w:t>ASIC may request additional information.</w:t>
      </w:r>
    </w:p>
    <w:p>
      <w:pPr>
        <w:pStyle w:val="ListBullet"/>
      </w:pPr>
      <w:r>
        <w:t>ASIC may reject, delay or otherwise not process an application.</w:t>
      </w:r>
    </w:p>
    <w:p>
      <w:pPr>
        <w:pStyle w:val="ListBullet"/>
      </w:pPr>
      <w:r>
        <w:t>Registration is not guaranteed until ASIC confirms registration.</w:t>
      </w:r>
    </w:p>
    <w:p>
      <w:pPr>
        <w:pStyle w:val="ListBullet"/>
      </w:pPr>
      <w:r>
        <w:t>Government and ASIC fees may apply and may change.</w:t>
      </w:r>
    </w:p>
    <w:p>
      <w:pPr>
        <w:pStyle w:val="ListBullet"/>
      </w:pPr>
      <w:r>
        <w:t>Financially Up is not responsible for delays caused by ASIC, government systems, third parties or circumstances outside its reasonable control.</w:t>
      </w:r>
    </w:p>
    <w:p>
      <w:pPr>
        <w:pStyle w:val="Heading1"/>
      </w:pPr>
      <w:r>
        <w:t>9. Company Name</w:t>
      </w:r>
    </w:p>
    <w:p>
      <w:pPr>
        <w:pStyle w:val="ListBullet"/>
      </w:pPr>
      <w:r>
        <w:t>The Client may provide multiple proposed company names.</w:t>
      </w:r>
    </w:p>
    <w:p>
      <w:pPr>
        <w:pStyle w:val="ListBullet"/>
      </w:pPr>
      <w:r>
        <w:t>Providing a preferred name does not guarantee availability.</w:t>
      </w:r>
    </w:p>
    <w:p>
      <w:pPr>
        <w:pStyle w:val="ListBullet"/>
      </w:pPr>
      <w:r>
        <w:t>ASIC determines whether a proposed name can be registered.</w:t>
      </w:r>
    </w:p>
    <w:p>
      <w:pPr>
        <w:pStyle w:val="ListBullet"/>
      </w:pPr>
      <w:r>
        <w:t>A proposed name may be unavailable, rejected or require modification.</w:t>
      </w:r>
    </w:p>
    <w:p>
      <w:pPr>
        <w:pStyle w:val="ListBullet"/>
      </w:pPr>
      <w:r>
        <w:t>Company-name registration does not necessarily provide trademark or intellectual property protection.</w:t>
      </w:r>
    </w:p>
    <w:p>
      <w:pPr>
        <w:pStyle w:val="Heading1"/>
      </w:pPr>
      <w:r>
        <w:t>10. Company Constitution and Governance</w:t>
      </w:r>
    </w:p>
    <w:p>
      <w:pPr>
        <w:pStyle w:val="ListBullet"/>
      </w:pPr>
      <w:r>
        <w:t>The Client may select replaceable rules where permitted, a constitution, or another available governance option.</w:t>
      </w:r>
    </w:p>
    <w:p>
      <w:pPr>
        <w:pStyle w:val="ListBullet"/>
      </w:pPr>
      <w:r>
        <w:t>A constitution is only prepared where that service is expressly included.</w:t>
      </w:r>
    </w:p>
    <w:p>
      <w:pPr>
        <w:pStyle w:val="ListBullet"/>
      </w:pPr>
      <w:r>
        <w:t>Financially Up does not provide legal advice on whether a constitution or shareholder agreement is suitable unless separately agreed and appropriately qualified.</w:t>
      </w:r>
    </w:p>
    <w:p>
      <w:pPr>
        <w:pStyle w:val="Heading1"/>
      </w:pPr>
      <w:r>
        <w:t>11. Client Information and Instructions</w:t>
      </w:r>
    </w:p>
    <w:p>
      <w:pPr>
        <w:pStyle w:val="ListBullet"/>
      </w:pPr>
      <w:r>
        <w:t>Information supplied must be complete, accurate, current, true and not misleading.</w:t>
      </w:r>
    </w:p>
    <w:p>
      <w:pPr>
        <w:pStyle w:val="ListBullet"/>
      </w:pPr>
      <w:r>
        <w:t>The Client must promptly notify Financially Up of changes.</w:t>
      </w:r>
    </w:p>
    <w:p>
      <w:pPr>
        <w:pStyle w:val="ListBullet"/>
      </w:pPr>
      <w:r>
        <w:t>Changes include company name, directors, secretaries, shareholders, share classes, beneficial owners, controllers, addresses, citizenship, tax residence, ownership structure, funding, source of funds, source of wealth, nominee arrangements, trustee arrangements and intended activities.</w:t>
      </w:r>
    </w:p>
    <w:p>
      <w:pPr>
        <w:pStyle w:val="ListBullet"/>
      </w:pPr>
      <w:r>
        <w:t>Financially Up may rely on Client information unless law or professional obligations require further verification.</w:t>
      </w:r>
    </w:p>
    <w:p>
      <w:pPr>
        <w:pStyle w:val="Heading1"/>
      </w:pPr>
      <w:r>
        <w:t>12. Client Responsibility for Accuracy</w:t>
      </w:r>
    </w:p>
    <w:p>
      <w:pPr>
        <w:pStyle w:val="ListBullet"/>
      </w:pPr>
      <w:r>
        <w:t>The Client must not conceal an owner or controller.</w:t>
      </w:r>
    </w:p>
    <w:p>
      <w:pPr>
        <w:pStyle w:val="ListBullet"/>
      </w:pPr>
      <w:r>
        <w:t>The Client must not misrepresent the purpose of the company.</w:t>
      </w:r>
    </w:p>
    <w:p>
      <w:pPr>
        <w:pStyle w:val="ListBullet"/>
      </w:pPr>
      <w:r>
        <w:t>The Client must not provide false identity information.</w:t>
      </w:r>
    </w:p>
    <w:p>
      <w:pPr>
        <w:pStyle w:val="ListBullet"/>
      </w:pPr>
      <w:r>
        <w:t>The Client must disclose nominee arrangements.</w:t>
      </w:r>
    </w:p>
    <w:p>
      <w:pPr>
        <w:pStyle w:val="ListBullet"/>
      </w:pPr>
      <w:r>
        <w:t>The Client must disclose beneficial ownership.</w:t>
      </w:r>
    </w:p>
    <w:p>
      <w:pPr>
        <w:pStyle w:val="ListBullet"/>
      </w:pPr>
      <w:r>
        <w:t>The Client must disclose third-party funding.</w:t>
      </w:r>
    </w:p>
    <w:p>
      <w:pPr>
        <w:pStyle w:val="ListBullet"/>
      </w:pPr>
      <w:r>
        <w:t>The Client must provide truthful source-of-funds and source-of-wealth information.</w:t>
      </w:r>
    </w:p>
    <w:p>
      <w:pPr>
        <w:pStyle w:val="ListBullet"/>
      </w:pPr>
      <w:r>
        <w:t>The Client must not provide false, altered or misleading documents.</w:t>
      </w:r>
    </w:p>
    <w:p>
      <w:pPr>
        <w:pStyle w:val="ListBullet"/>
      </w:pPr>
      <w:r>
        <w:t>The Client must not instruct Financially Up to lodge information known to be incorrect.</w:t>
      </w:r>
    </w:p>
    <w:p>
      <w:pPr>
        <w:pStyle w:val="Heading1"/>
      </w:pPr>
      <w:r>
        <w:t>13. Authority to Act</w:t>
      </w:r>
    </w:p>
    <w:p>
      <w:r>
        <w:t>Subject to the agreed scope, the Client authorises Financially Up to prepare and submit registration information, communicate with relevant authorities, conduct verification and CDD, maintain engagement records, and request information reasonably necessary to perform the engagement.</w:t>
      </w:r>
    </w:p>
    <w:p>
      <w:pPr>
        <w:pStyle w:val="Heading1"/>
      </w:pPr>
      <w:r>
        <w:t>14. Authority Does Not Transfer Legal Responsibility</w:t>
      </w:r>
    </w:p>
    <w:p>
      <w:r>
        <w:t>The Client's authority for Financially Up to act does not transfer the Client's legal responsibilities. The Client and company officeholders remain responsible for the company's legal and regulatory obligations, including ongoing ASIC, tax, employment, licensing and other obligations.</w:t>
      </w:r>
    </w:p>
    <w:p>
      <w:pPr>
        <w:pStyle w:val="Heading1"/>
      </w:pPr>
      <w:r>
        <w:t>15. Directors and Secretaries</w:t>
      </w:r>
    </w:p>
    <w:p>
      <w:pPr>
        <w:pStyle w:val="ListBullet"/>
      </w:pPr>
      <w:r>
        <w:t>Proposed directors and secretaries must provide required consent before appointment.</w:t>
      </w:r>
    </w:p>
    <w:p>
      <w:pPr>
        <w:pStyle w:val="ListBullet"/>
      </w:pPr>
      <w:r>
        <w:t>Each proposed officeholder must know about and agree to the appointment.</w:t>
      </w:r>
    </w:p>
    <w:p>
      <w:pPr>
        <w:pStyle w:val="ListBullet"/>
      </w:pPr>
      <w:r>
        <w:t>Required identity and other information must be accurate.</w:t>
      </w:r>
    </w:p>
    <w:p>
      <w:pPr>
        <w:pStyle w:val="ListBullet"/>
      </w:pPr>
      <w:r>
        <w:t>Where required, directors must obtain and maintain a Director ID.</w:t>
      </w:r>
    </w:p>
    <w:p>
      <w:pPr>
        <w:pStyle w:val="ListBullet"/>
      </w:pPr>
      <w:r>
        <w:t>Financially Up may not proceed without required consent or information.</w:t>
      </w:r>
    </w:p>
    <w:p>
      <w:pPr>
        <w:pStyle w:val="Heading1"/>
      </w:pPr>
      <w:r>
        <w:t>16. Members and Shareholders</w:t>
      </w:r>
    </w:p>
    <w:p>
      <w:pPr>
        <w:pStyle w:val="ListBullet"/>
      </w:pPr>
      <w:r>
        <w:t>The Client must provide complete information about members/shareholders.</w:t>
      </w:r>
    </w:p>
    <w:p>
      <w:pPr>
        <w:pStyle w:val="ListBullet"/>
      </w:pPr>
      <w:r>
        <w:t>Information includes name, address, share class, number of shares, amount paid and amount unpaid.</w:t>
      </w:r>
    </w:p>
    <w:p>
      <w:pPr>
        <w:pStyle w:val="ListBullet"/>
      </w:pPr>
      <w:r>
        <w:t>Beneficial ownership and nominee/trustee arrangements must be disclosed.</w:t>
      </w:r>
    </w:p>
    <w:p>
      <w:pPr>
        <w:pStyle w:val="ListBullet"/>
      </w:pPr>
      <w:r>
        <w:t>Required member consent must be obtained before lodgement.</w:t>
      </w:r>
    </w:p>
    <w:p>
      <w:pPr>
        <w:pStyle w:val="Heading1"/>
      </w:pPr>
      <w:r>
        <w:t>17. Beneficial Ownership and Control</w:t>
      </w:r>
    </w:p>
    <w:p>
      <w:pPr>
        <w:pStyle w:val="ListBullet"/>
      </w:pPr>
      <w:r>
        <w:t>All relevant beneficial owners and controllers must be disclosed.</w:t>
      </w:r>
    </w:p>
    <w:p>
      <w:pPr>
        <w:pStyle w:val="ListBullet"/>
      </w:pPr>
      <w:r>
        <w:t>Disclosure is not limited to registered shareholders.</w:t>
      </w:r>
    </w:p>
    <w:p>
      <w:pPr>
        <w:pStyle w:val="ListBullet"/>
      </w:pPr>
      <w:r>
        <w:t>Indirect ownership, voting rights, agreements, funding, nominee arrangements and practical influence may be relevant.</w:t>
      </w:r>
    </w:p>
    <w:p>
      <w:pPr>
        <w:pStyle w:val="ListBullet"/>
      </w:pPr>
      <w:r>
        <w:t>Financially Up may request ownership charts, trust documents, shareholder agreements, nominee agreements, loan agreements and other evidence.</w:t>
      </w:r>
    </w:p>
    <w:p>
      <w:pPr>
        <w:pStyle w:val="Heading1"/>
      </w:pPr>
      <w:r>
        <w:t>18. AML/CTF and Customer Due Diligence</w:t>
      </w:r>
    </w:p>
    <w:p>
      <w:r>
        <w:t>Where applicable, Financially Up may conduct customer due diligence and other AML/CTF checks before providing or continuing relevant services. The Client agrees to provide information and evidence reasonably requested for customer identification, beneficial ownership, control, nature and purpose of the service, source of funds, source of wealth, PEP assessment, sanctions screening and other applicable requirements.</w:t>
      </w:r>
    </w:p>
    <w:p>
      <w:pPr>
        <w:pStyle w:val="Heading1"/>
      </w:pPr>
      <w:r>
        <w:t>19. Identity Verification</w:t>
      </w:r>
    </w:p>
    <w:p>
      <w:pPr>
        <w:pStyle w:val="ListBullet"/>
      </w:pPr>
      <w:r>
        <w:t>Financially Up may verify the identity of the instructing person, directors, secretaries, members, beneficial owners, controllers and other relevant persons.</w:t>
      </w:r>
    </w:p>
    <w:p>
      <w:pPr>
        <w:pStyle w:val="ListBullet"/>
      </w:pPr>
      <w:r>
        <w:t>Verification may use identity documents, electronic verification, registries, government records and third-party verification providers.</w:t>
      </w:r>
    </w:p>
    <w:p>
      <w:pPr>
        <w:pStyle w:val="ListBullet"/>
      </w:pPr>
      <w:r>
        <w:t>Further evidence may be requested where identity cannot reasonably be established.</w:t>
      </w:r>
    </w:p>
    <w:p>
      <w:pPr>
        <w:pStyle w:val="Heading1"/>
      </w:pPr>
      <w:r>
        <w:t>20. PEP, Sanctions and Adverse Media Screening</w:t>
      </w:r>
    </w:p>
    <w:p>
      <w:r>
        <w:t>Financially Up may conduct PEP, sanctions and adverse-media screening where required for the engagement or applicable compliance obligations. A potential screening match does not by itself establish unlawful conduct. Additional information may be requested.</w:t>
      </w:r>
    </w:p>
    <w:p>
      <w:pPr>
        <w:pStyle w:val="Heading1"/>
      </w:pPr>
      <w:r>
        <w:t>21. Source of Funds and Source of Wealth</w:t>
      </w:r>
    </w:p>
    <w:p>
      <w:r>
        <w:t>Financially Up may require information concerning initial share capital, setup funding, future funding, third-party funders, offshore funds, cash contributions and beneficial-owner wealth. The Client must provide truthful information and supporting evidence when requested.</w:t>
      </w:r>
    </w:p>
    <w:p>
      <w:pPr>
        <w:pStyle w:val="Heading1"/>
      </w:pPr>
      <w:r>
        <w:t>22. Third-Party Funds</w:t>
      </w:r>
    </w:p>
    <w:p>
      <w:r>
        <w:t>Where funds are provided by a person who is not a shareholder or director, the Client must disclose the funder's identity, relationship, amount, source, purpose and relevant supporting agreements or evidence.</w:t>
      </w:r>
    </w:p>
    <w:p>
      <w:pPr>
        <w:pStyle w:val="Heading1"/>
      </w:pPr>
      <w:r>
        <w:t>23. Nominee, Trustee and Arranged Role-Holder Arrangements</w:t>
      </w:r>
    </w:p>
    <w:p>
      <w:r>
        <w:t>The Client must disclose nominee shareholders, nominee directors, trustees, corporate trustees, SMSF trustees, bare trustees and other arrangements where legal ownership, beneficial ownership and practical control differ. Financially Up may request agreements, trust documents, ownership structures, instructions, identification of the actual controller and independent legal advice.</w:t>
      </w:r>
    </w:p>
    <w:p>
      <w:pPr>
        <w:pStyle w:val="Heading1"/>
      </w:pPr>
      <w:r>
        <w:t>24. Legal Advice</w:t>
      </w:r>
    </w:p>
    <w:p>
      <w:r>
        <w:t>Unless separately agreed and provided by an appropriately qualified legal practitioner, Financially Up does not provide legal advice. The Client should obtain independent legal advice where appropriate, particularly for constitutions, shareholder agreements, trusts, nominee arrangements, asset protection, commercial contracts, disputes, licensing and complex structures.</w:t>
      </w:r>
    </w:p>
    <w:p>
      <w:pPr>
        <w:pStyle w:val="Heading1"/>
      </w:pPr>
      <w:r>
        <w:t>25. Tax and Post-Registration Services</w:t>
      </w:r>
    </w:p>
    <w:p>
      <w:r>
        <w:t>ABN, TFN, GST, PAYG, business-name registration, bank-account assistance, accounting-software setup, registered-agent services and other post-registration services are only included where specifically selected and accepted. Separate or expanded engagement terms may apply.</w:t>
      </w:r>
    </w:p>
    <w:p>
      <w:pPr>
        <w:pStyle w:val="Heading1"/>
      </w:pPr>
      <w:r>
        <w:t>26. Registered Office Address Service</w:t>
      </w:r>
    </w:p>
    <w:p>
      <w:r>
        <w:t>Where Financially Up provides a registered office or related address service, Document 7 applies in addition to these Terms. The Client remains responsible for company compliance and must maintain current contact details and comply with the separate address-service requirements.</w:t>
      </w:r>
    </w:p>
    <w:p>
      <w:pPr>
        <w:pStyle w:val="Heading1"/>
      </w:pPr>
      <w:r>
        <w:t>27. Mail and Legal Notices</w:t>
      </w:r>
    </w:p>
    <w:p>
      <w:pPr>
        <w:pStyle w:val="ListBullet"/>
      </w:pPr>
      <w:r>
        <w:t>Mail is handled according to the agreed address-service scope.</w:t>
      </w:r>
    </w:p>
    <w:p>
      <w:pPr>
        <w:pStyle w:val="ListBullet"/>
      </w:pPr>
      <w:r>
        <w:t>The Client remains responsible for acting on notices.</w:t>
      </w:r>
    </w:p>
    <w:p>
      <w:pPr>
        <w:pStyle w:val="ListBullet"/>
      </w:pPr>
      <w:r>
        <w:t>Financially Up does not guarantee receipt or action within a particular timeframe.</w:t>
      </w:r>
    </w:p>
    <w:p>
      <w:pPr>
        <w:pStyle w:val="ListBullet"/>
      </w:pPr>
      <w:r>
        <w:t>Urgent legal, ASIC or court documents should be dealt with under the agreed urgent-notification procedure.</w:t>
      </w:r>
    </w:p>
    <w:p>
      <w:pPr>
        <w:pStyle w:val="ListBullet"/>
      </w:pPr>
      <w:r>
        <w:t>Receiving mail does not make Financially Up the Client's legal representative.</w:t>
      </w:r>
    </w:p>
    <w:p>
      <w:pPr>
        <w:pStyle w:val="Heading1"/>
      </w:pPr>
      <w:r>
        <w:t>28. Documents Provided by the Client</w:t>
      </w:r>
    </w:p>
    <w:p>
      <w:r>
        <w:t>Financially Up may retain copies or records of identity documents, authority documents, consents, registry extracts, trust documents, ownership charts, nominee agreements, source-of-funds evidence and other supporting documents required for the engagement.</w:t>
      </w:r>
    </w:p>
    <w:p>
      <w:pPr>
        <w:pStyle w:val="Heading1"/>
      </w:pPr>
      <w:r>
        <w:t>29. Client Record Keeping</w:t>
      </w:r>
    </w:p>
    <w:p>
      <w:r>
        <w:t>The Client remains responsible for retaining records required by applicable law. Financially Up will maintain engagement records according to applicable legal, professional, AML/CTF, privacy and business requirements.</w:t>
      </w:r>
    </w:p>
    <w:p>
      <w:pPr>
        <w:pStyle w:val="Heading1"/>
      </w:pPr>
      <w:r>
        <w:t>30. Privacy and Personal Information</w:t>
      </w:r>
    </w:p>
    <w:p>
      <w:r>
        <w:t>Financially Up may collect and handle personal information required for the engagement. The separate Privacy Collection Notice and Privacy Policy apply. Information may be disclosed where permitted or required by law or where necessary to provide the agreed services.</w:t>
      </w:r>
    </w:p>
    <w:p>
      <w:pPr>
        <w:pStyle w:val="Heading1"/>
      </w:pPr>
      <w:r>
        <w:t>31. Third-Party Service Providers</w:t>
      </w:r>
    </w:p>
    <w:p>
      <w:pPr>
        <w:pStyle w:val="ListBullet"/>
      </w:pPr>
      <w:r>
        <w:t>Financially Up may use identity verification, screening, electronic-signature, cloud, accounting, communication, IT and other service providers where reasonably necessary.</w:t>
      </w:r>
    </w:p>
    <w:p>
      <w:pPr>
        <w:pStyle w:val="ListBullet"/>
      </w:pPr>
      <w:r>
        <w:t>Client information will be handled in accordance with applicable privacy requirements and relevant consents.</w:t>
      </w:r>
    </w:p>
    <w:p>
      <w:pPr>
        <w:pStyle w:val="Heading1"/>
      </w:pPr>
      <w:r>
        <w:t>32. Overseas Disclosure and Processing</w:t>
      </w:r>
    </w:p>
    <w:p>
      <w:r>
        <w:t>Some technology or service providers may operate outside Australia. Where applicable, personal information may be disclosed to or processed by overseas recipients in accordance with applicable privacy requirements and the Financially Up Privacy Collection Notice and Privacy Policy.</w:t>
      </w:r>
    </w:p>
    <w:p>
      <w:pPr>
        <w:pStyle w:val="Heading1"/>
      </w:pPr>
      <w:r>
        <w:t>33. Confidentiality</w:t>
      </w:r>
    </w:p>
    <w:p>
      <w:r>
        <w:t>Financially Up will treat Client information as confidential subject to applicable law, AML/CTF obligations, tax and professional obligations, court orders, regulatory requirements, law-enforcement requirements and other lawful disclosure obligations.</w:t>
      </w:r>
    </w:p>
    <w:p>
      <w:pPr>
        <w:pStyle w:val="Heading1"/>
      </w:pPr>
      <w:r>
        <w:t>34. AML/CTF Confidentiality and Reporting</w:t>
      </w:r>
    </w:p>
    <w:p>
      <w:r>
        <w:t>Where applicable, Financially Up may have obligations to conduct CDD, monitor risk, maintain records, decline or suspend services, make reports to AUSTRAC or another authority, and comply with lawful directions. Financially Up may be unable to disclose certain information where disclosure is prohibited by law.</w:t>
      </w:r>
    </w:p>
    <w:p>
      <w:pPr>
        <w:pStyle w:val="Heading1"/>
      </w:pPr>
      <w:r>
        <w:t>35. Further Information</w:t>
      </w:r>
    </w:p>
    <w:p>
      <w:r>
        <w:t>Financially Up may request further information at any stage where information is incomplete or inconsistent, identity or ownership cannot be established, source of funds or wealth requires verification, screening produces a potential concern, ASIC requires additional information, or legal/professional obligations require it.</w:t>
      </w:r>
    </w:p>
    <w:p>
      <w:pPr>
        <w:pStyle w:val="Heading1"/>
      </w:pPr>
      <w:r>
        <w:t>36. Right to Decline or Suspend</w:t>
      </w:r>
    </w:p>
    <w:p>
      <w:pPr>
        <w:pStyle w:val="ListBullet"/>
      </w:pPr>
      <w:r>
        <w:t>Required information is not provided.</w:t>
      </w:r>
    </w:p>
    <w:p>
      <w:pPr>
        <w:pStyle w:val="ListBullet"/>
      </w:pPr>
      <w:r>
        <w:t>Required documents or consent are missing.</w:t>
      </w:r>
    </w:p>
    <w:p>
      <w:pPr>
        <w:pStyle w:val="ListBullet"/>
      </w:pPr>
      <w:r>
        <w:t>Identity, beneficial ownership or control cannot be established.</w:t>
      </w:r>
    </w:p>
    <w:p>
      <w:pPr>
        <w:pStyle w:val="ListBullet"/>
      </w:pPr>
      <w:r>
        <w:t>Source of funds or wealth cannot be established to the required standard.</w:t>
      </w:r>
    </w:p>
    <w:p>
      <w:pPr>
        <w:pStyle w:val="ListBullet"/>
      </w:pPr>
      <w:r>
        <w:t>The proposed structure presents unacceptable risk.</w:t>
      </w:r>
    </w:p>
    <w:p>
      <w:pPr>
        <w:pStyle w:val="ListBullet"/>
      </w:pPr>
      <w:r>
        <w:t>The arrangement appears unlawful or inappropriate.</w:t>
      </w:r>
    </w:p>
    <w:p>
      <w:pPr>
        <w:pStyle w:val="ListBullet"/>
      </w:pPr>
      <w:r>
        <w:t>Financially Up has a conflict.</w:t>
      </w:r>
    </w:p>
    <w:p>
      <w:pPr>
        <w:pStyle w:val="ListBullet"/>
      </w:pPr>
      <w:r>
        <w:t>Continuing would breach law or professional obligations.</w:t>
      </w:r>
    </w:p>
    <w:p>
      <w:pPr>
        <w:pStyle w:val="ListBullet"/>
      </w:pPr>
      <w:r>
        <w:t>The Client provides misleading information.</w:t>
      </w:r>
    </w:p>
    <w:p>
      <w:pPr>
        <w:pStyle w:val="ListBullet"/>
      </w:pPr>
      <w:r>
        <w:t>Fees remain unpaid.</w:t>
      </w:r>
    </w:p>
    <w:p>
      <w:pPr>
        <w:pStyle w:val="ListBullet"/>
      </w:pPr>
      <w:r>
        <w:t>The Client does not cooperate.</w:t>
      </w:r>
    </w:p>
    <w:p>
      <w:pPr>
        <w:pStyle w:val="ListBullet"/>
      </w:pPr>
      <w:r>
        <w:t>ASIC or another authority prevents or materially delays the service.</w:t>
      </w:r>
    </w:p>
    <w:p>
      <w:pPr>
        <w:pStyle w:val="Heading1"/>
      </w:pPr>
      <w:r>
        <w:t>37. No Guarantee of Registration</w:t>
      </w:r>
    </w:p>
    <w:p>
      <w:r>
        <w:t>Financially Up does not guarantee ASIC approval, company-name availability, registration timing, registration outcome, bank approval, ABN/TFN outcome, GST/PAYG registration or any other third-party outcome.</w:t>
      </w:r>
    </w:p>
    <w:p>
      <w:pPr>
        <w:pStyle w:val="Heading1"/>
      </w:pPr>
      <w:r>
        <w:t>38. Fees and Government Charges</w:t>
      </w:r>
    </w:p>
    <w:p>
      <w:pPr>
        <w:pStyle w:val="ListBullet"/>
      </w:pPr>
      <w:r>
        <w:t>The Client agrees to pay the fees stated in the accepted quotation, fee schedule or written agreement.</w:t>
      </w:r>
    </w:p>
    <w:p>
      <w:pPr>
        <w:pStyle w:val="ListBullet"/>
      </w:pPr>
      <w:r>
        <w:t>Fees may include professional fees, government charges, ASIC fees, verification fees, third-party provider charges, document/courier fees and agreed urgent-service fees.</w:t>
      </w:r>
    </w:p>
    <w:p>
      <w:pPr>
        <w:pStyle w:val="ListBullet"/>
      </w:pPr>
      <w:r>
        <w:t>Government and third-party charges are separate unless expressly included.</w:t>
      </w:r>
    </w:p>
    <w:p>
      <w:pPr>
        <w:pStyle w:val="Heading1"/>
      </w:pPr>
      <w:r>
        <w:t>39. Additional Work</w:t>
      </w:r>
    </w:p>
    <w:p>
      <w:r>
        <w:t>Additional fees may apply where work materially exceeds the agreed scope, including complex ownership structures, extensive CDD, additional verification, complex trust/nominee arrangements, repeated corrections caused by Client information, additional ASIC correspondence, urgent work or extensive document review.</w:t>
      </w:r>
    </w:p>
    <w:p>
      <w:pPr>
        <w:pStyle w:val="Heading1"/>
      </w:pPr>
      <w:r>
        <w:t>40. Payment</w:t>
      </w:r>
    </w:p>
    <w:p>
      <w:pPr>
        <w:pStyle w:val="ListBullet"/>
      </w:pPr>
      <w:r>
        <w:t>Invoices are payable within the period stated on the invoice.</w:t>
      </w:r>
    </w:p>
    <w:p>
      <w:pPr>
        <w:pStyle w:val="ListBullet"/>
      </w:pPr>
      <w:r>
        <w:t>Government fees may be required before lodgement.</w:t>
      </w:r>
    </w:p>
    <w:p>
      <w:pPr>
        <w:pStyle w:val="ListBullet"/>
      </w:pPr>
      <w:r>
        <w:t>Financially Up may require payment before commencing or continuing work.</w:t>
      </w:r>
    </w:p>
    <w:p>
      <w:pPr>
        <w:pStyle w:val="ListBullet"/>
      </w:pPr>
      <w:r>
        <w:t>Financially Up may suspend work where amounts remain unpaid.</w:t>
      </w:r>
    </w:p>
    <w:p>
      <w:pPr>
        <w:pStyle w:val="Heading1"/>
      </w:pPr>
      <w:r>
        <w:t>41. Refunds</w:t>
      </w:r>
    </w:p>
    <w:p>
      <w:r>
        <w:t>Refunds are subject to applicable Financially Up terms, government/third-party refund rules and work already performed. Government or third-party fees may be non-refundable.</w:t>
      </w:r>
    </w:p>
    <w:p>
      <w:pPr>
        <w:pStyle w:val="Heading1"/>
      </w:pPr>
      <w:r>
        <w:t>42. Electronic Communications</w:t>
      </w:r>
    </w:p>
    <w:p>
      <w:r>
        <w:t>The Client consents to engagement-related electronic communications through email, client portal, electronic signature system or another agreed method. The Client must maintain current contact information.</w:t>
      </w:r>
    </w:p>
    <w:p>
      <w:pPr>
        <w:pStyle w:val="Heading1"/>
      </w:pPr>
      <w:r>
        <w:t>43. Electronic Signatures and Acceptance</w:t>
      </w:r>
    </w:p>
    <w:p>
      <w:r>
        <w:t>The Client may accept these Terms electronically where permitted. Acceptance may include checkbox acceptance, typed-name signature, electronic signature or digital signature.</w:t>
      </w:r>
    </w:p>
    <w:p>
      <w:pPr>
        <w:pStyle w:val="ListBullet"/>
      </w:pPr>
      <w:r>
        <w:t>The system must record the accepted Terms version.</w:t>
      </w:r>
    </w:p>
    <w:p>
      <w:pPr>
        <w:pStyle w:val="ListBullet"/>
      </w:pPr>
      <w:r>
        <w:t>The system must record the accepting signatory and capacity.</w:t>
      </w:r>
    </w:p>
    <w:p>
      <w:pPr>
        <w:pStyle w:val="ListBullet"/>
      </w:pPr>
      <w:r>
        <w:t>The system must record date and time.</w:t>
      </w:r>
    </w:p>
    <w:p>
      <w:pPr>
        <w:pStyle w:val="ListBullet"/>
      </w:pPr>
      <w:r>
        <w:t>The system should record acceptance method and appropriate audit metadata.</w:t>
      </w:r>
    </w:p>
    <w:p>
      <w:pPr>
        <w:pStyle w:val="ListBullet"/>
      </w:pPr>
      <w:r>
        <w:t>The accepted version must be retained with the engagement.</w:t>
      </w:r>
    </w:p>
    <w:p>
      <w:pPr>
        <w:pStyle w:val="Heading1"/>
      </w:pPr>
      <w:r>
        <w:t>44. Conflict of Interest</w:t>
      </w:r>
    </w:p>
    <w:p>
      <w:r>
        <w:t>Financially Up will take reasonable steps to identify and manage conflicts. Where a conflict cannot appropriately be managed, Financially Up may decline or terminate the engagement or refer the Client elsewhere, subject to applicable law and professional obligations.</w:t>
      </w:r>
    </w:p>
    <w:p>
      <w:pPr>
        <w:pStyle w:val="Heading1"/>
      </w:pPr>
      <w:r>
        <w:t>45. Professional Obligations</w:t>
      </w:r>
    </w:p>
    <w:p>
      <w:r>
        <w:t>Where Financially Up or an individual within Financially Up provides a regulated professional service, applicable professional and legal obligations apply. These Terms do not remove mandatory professional obligations.</w:t>
      </w:r>
    </w:p>
    <w:p>
      <w:pPr>
        <w:pStyle w:val="Heading1"/>
      </w:pPr>
      <w:r>
        <w:t>46. Reliance on Information</w:t>
      </w:r>
    </w:p>
    <w:p>
      <w:r>
        <w:t>Financially Up may rely on Client information for the engagement except where information is clearly inconsistent, verification is required, professional obligations require investigation, AML/CTF requirements require verification or an authority requires evidence.</w:t>
      </w:r>
    </w:p>
    <w:p>
      <w:pPr>
        <w:pStyle w:val="Heading1"/>
      </w:pPr>
      <w:r>
        <w:t>47. No Audit or Independent Investigation</w:t>
      </w:r>
    </w:p>
    <w:p>
      <w:r>
        <w:t>Unless separately agreed, company registration is not an audit, forensic investigation, assurance engagement or independent investigation of every fact supplied by the Client.</w:t>
      </w:r>
    </w:p>
    <w:p>
      <w:pPr>
        <w:pStyle w:val="Heading1"/>
      </w:pPr>
      <w:r>
        <w:t>48. Client Responsibilities After Registration</w:t>
      </w:r>
    </w:p>
    <w:p>
      <w:pPr>
        <w:pStyle w:val="ListBullet"/>
      </w:pPr>
      <w:r>
        <w:t>ASIC notifications and company records.</w:t>
      </w:r>
    </w:p>
    <w:p>
      <w:pPr>
        <w:pStyle w:val="ListBullet"/>
      </w:pPr>
      <w:r>
        <w:t>Maintaining registers and company details.</w:t>
      </w:r>
    </w:p>
    <w:p>
      <w:pPr>
        <w:pStyle w:val="ListBullet"/>
      </w:pPr>
      <w:r>
        <w:t>Updating officeholder and shareholder information.</w:t>
      </w:r>
    </w:p>
    <w:p>
      <w:pPr>
        <w:pStyle w:val="ListBullet"/>
      </w:pPr>
      <w:r>
        <w:t>Maintaining registered-office and principal-place-of-business details.</w:t>
      </w:r>
    </w:p>
    <w:p>
      <w:pPr>
        <w:pStyle w:val="ListBullet"/>
      </w:pPr>
      <w:r>
        <w:t>Annual statements and applicable ASIC obligations.</w:t>
      </w:r>
    </w:p>
    <w:p>
      <w:pPr>
        <w:pStyle w:val="ListBullet"/>
      </w:pPr>
      <w:r>
        <w:t>Tax registrations and tax obligations.</w:t>
      </w:r>
    </w:p>
    <w:p>
      <w:pPr>
        <w:pStyle w:val="ListBullet"/>
      </w:pPr>
      <w:r>
        <w:t>Business-name obligations.</w:t>
      </w:r>
    </w:p>
    <w:p>
      <w:pPr>
        <w:pStyle w:val="ListBullet"/>
      </w:pPr>
      <w:r>
        <w:t>Employment obligations.</w:t>
      </w:r>
    </w:p>
    <w:p>
      <w:pPr>
        <w:pStyle w:val="ListBullet"/>
      </w:pPr>
      <w:r>
        <w:t>Licensing and regulatory obligations.</w:t>
      </w:r>
    </w:p>
    <w:p>
      <w:pPr>
        <w:pStyle w:val="ListBullet"/>
      </w:pPr>
      <w:r>
        <w:t>Other continuing company obligations.</w:t>
      </w:r>
    </w:p>
    <w:p>
      <w:pPr>
        <w:pStyle w:val="Heading1"/>
      </w:pPr>
      <w:r>
        <w:t>49. Registered Agent and Ongoing ASIC Services</w:t>
      </w:r>
    </w:p>
    <w:p>
      <w:r>
        <w:t>Ongoing registered-agent or annual-statement services are not included unless specifically selected. The Client remains responsible for providing accurate information required for such services.</w:t>
      </w:r>
    </w:p>
    <w:p>
      <w:pPr>
        <w:pStyle w:val="Heading1"/>
      </w:pPr>
      <w:r>
        <w:t>50. Complaints</w:t>
      </w:r>
    </w:p>
    <w:p>
      <w:r>
        <w:t>The Client may raise a complaint with Financially Up regarding the services. A complaint should identify the Client, engagement/reference number, nature of the complaint, relevant documents and desired outcome where applicable.</w:t>
      </w:r>
    </w:p>
    <w:p>
      <w:pPr>
        <w:pStyle w:val="Heading1"/>
      </w:pPr>
      <w:r>
        <w:t>51. Dispute Resolution</w:t>
      </w:r>
    </w:p>
    <w:p>
      <w:r>
        <w:t>The parties should first attempt to resolve disputes directly and in good faith. Where appropriate, the parties may consider mediation or another suitable dispute-resolution process. Nothing prevents a party from exercising statutory rights or making a complaint to a regulator.</w:t>
      </w:r>
    </w:p>
    <w:p>
      <w:pPr>
        <w:pStyle w:val="Heading1"/>
      </w:pPr>
      <w:r>
        <w:t>52. Limitation of Liability</w:t>
      </w:r>
    </w:p>
    <w:p>
      <w:r>
        <w:t>To the maximum extent permitted by law, Financially Up's liability arising from the engagement will be limited to the extent permitted by applicable law and mandatory professional obligations. Nothing in these Terms excludes, restricts or modifies a right, guarantee, condition or liability that cannot lawfully be excluded, restricted or modified.</w:t>
      </w:r>
    </w:p>
    <w:p>
      <w:r>
        <w:rPr>
          <w:b/>
        </w:rPr>
        <w:t xml:space="preserve">Implementation note: </w:t>
      </w:r>
      <w:r>
        <w:t>The final production version of this clause must be reviewed by Australian legal counsel before use, particularly for consumer law, professional negligence, tax-agent services and any proposed liability cap or exclusion.</w:t>
      </w:r>
    </w:p>
    <w:p>
      <w:pPr>
        <w:pStyle w:val="Heading1"/>
      </w:pPr>
      <w:r>
        <w:t>53. Force Majeure / Events Outside Control</w:t>
      </w:r>
    </w:p>
    <w:p>
      <w:r>
        <w:t>Financially Up is not responsible for delays caused by circumstances outside its reasonable control, including government/ASIC outages, telecommunications failures, cyber incidents, natural disasters, government action, regulatory changes, third-party failures, service-provider outages, industrial action or other comparable circumstances.</w:t>
      </w:r>
    </w:p>
    <w:p>
      <w:pPr>
        <w:pStyle w:val="Heading1"/>
      </w:pPr>
      <w:r>
        <w:t>54. Changes in Law or Regulatory Requirements</w:t>
      </w:r>
    </w:p>
    <w:p>
      <w:r>
        <w:t>Financially Up may need to change its process, documentation or requirements when laws, ASIC requirements, AUSTRAC requirements, tax laws, privacy requirements, professional requirements, government procedures or third-party systems change.</w:t>
      </w:r>
    </w:p>
    <w:p>
      <w:pPr>
        <w:pStyle w:val="Heading1"/>
      </w:pPr>
      <w:r>
        <w:t>55. Changes to the Engagement</w:t>
      </w:r>
    </w:p>
    <w:p>
      <w:r>
        <w:t>The scope may be changed by written agreement where the Client requests additional services, changes the company structure, introduces shareholders, adds trust/nominee arrangements, requests tax services or requests ongoing ASIC services.</w:t>
      </w:r>
    </w:p>
    <w:p>
      <w:pPr>
        <w:pStyle w:val="Heading1"/>
      </w:pPr>
      <w:r>
        <w:t>56. Termination by the Client</w:t>
      </w:r>
    </w:p>
    <w:p>
      <w:r>
        <w:t>The Client may request termination by written notice. Termination does not remove the obligation to pay fees for work already performed, government charges, third-party charges and other properly due amounts.</w:t>
      </w:r>
    </w:p>
    <w:p>
      <w:pPr>
        <w:pStyle w:val="Heading1"/>
      </w:pPr>
      <w:r>
        <w:t>57. Termination by Financially Up</w:t>
      </w:r>
    </w:p>
    <w:p>
      <w:r>
        <w:t>Financially Up may terminate where the Client fails to cooperate, required CDD cannot be completed, required consent is missing, false or misleading information is supplied, fees remain unpaid, continuing would breach law/professional obligations, a conflict arises, the Client requests unlawful conduct, risk becomes unacceptable, or the engagement can no longer reasonably be performed.</w:t>
      </w:r>
    </w:p>
    <w:p>
      <w:pPr>
        <w:pStyle w:val="Heading1"/>
      </w:pPr>
      <w:r>
        <w:t>58. Effect of Termination</w:t>
      </w:r>
    </w:p>
    <w:p>
      <w:pPr>
        <w:pStyle w:val="ListBullet"/>
      </w:pPr>
      <w:r>
        <w:t>Financially Up will cease further work except where necessary for legal or administrative reasons.</w:t>
      </w:r>
    </w:p>
    <w:p>
      <w:pPr>
        <w:pStyle w:val="ListBullet"/>
      </w:pPr>
      <w:r>
        <w:t>Outstanding fees remain payable.</w:t>
      </w:r>
    </w:p>
    <w:p>
      <w:pPr>
        <w:pStyle w:val="ListBullet"/>
      </w:pPr>
      <w:r>
        <w:t>Government and third-party costs already incurred remain payable.</w:t>
      </w:r>
    </w:p>
    <w:p>
      <w:pPr>
        <w:pStyle w:val="ListBullet"/>
      </w:pPr>
      <w:r>
        <w:t>Client documents are handled according to applicable law and retention procedures.</w:t>
      </w:r>
    </w:p>
    <w:p>
      <w:pPr>
        <w:pStyle w:val="ListBullet"/>
      </w:pPr>
      <w:r>
        <w:t>Financially Up may retain records where legally or professionally required.</w:t>
      </w:r>
    </w:p>
    <w:p>
      <w:pPr>
        <w:pStyle w:val="ListBullet"/>
      </w:pPr>
      <w:r>
        <w:t>Confidentiality, privacy, record-keeping and other continuing obligations remain applicable.</w:t>
      </w:r>
    </w:p>
    <w:p>
      <w:pPr>
        <w:pStyle w:val="Heading1"/>
      </w:pPr>
      <w:r>
        <w:t>59. Governing Law</w:t>
      </w:r>
    </w:p>
    <w:p>
      <w:r>
        <w:t>These Terms are governed by the laws of the Australian jurisdiction applicable to the engagement, subject to mandatory Australian federal law and applicable statutory rights.</w:t>
      </w:r>
    </w:p>
    <w:p>
      <w:r>
        <w:rPr>
          <w:b/>
        </w:rPr>
        <w:t xml:space="preserve">Implementation note: </w:t>
      </w:r>
      <w:r>
        <w:t>The production version should specify the intended governing State or Territory after legal review.</w:t>
      </w:r>
    </w:p>
    <w:p>
      <w:pPr>
        <w:pStyle w:val="Heading1"/>
      </w:pPr>
      <w:r>
        <w:t>60. Entire Agreement</w:t>
      </w:r>
    </w:p>
    <w:p>
      <w:r>
        <w:t>These Terms, together with the documents expressly incorporated into them, form the agreement governing the engagement. Incorporated documents may include the Company Registration Intake Form, Client Declaration, Privacy Collection Notice, Privacy Policy, accepted quotation, Registered Office Address Service Terms and other service-specific documents.</w:t>
      </w:r>
    </w:p>
    <w:p>
      <w:pPr>
        <w:pStyle w:val="Heading1"/>
      </w:pPr>
      <w:r>
        <w:t>61. Severability</w:t>
      </w:r>
    </w:p>
    <w:p>
      <w:r>
        <w:t>If any provision is found invalid, unenforceable or unlawful, it will be read down or severed to the extent necessary and the remaining provisions will continue to operate to the extent permitted by law.</w:t>
      </w:r>
    </w:p>
    <w:p>
      <w:pPr>
        <w:pStyle w:val="Heading1"/>
      </w:pPr>
      <w:r>
        <w:t>62. No Waiver</w:t>
      </w:r>
    </w:p>
    <w:p>
      <w:r>
        <w:t>A failure or delay to exercise a right under these Terms does not constitute a waiver of that right.</w:t>
      </w:r>
    </w:p>
    <w:p>
      <w:pPr>
        <w:pStyle w:val="Heading1"/>
      </w:pPr>
      <w:r>
        <w:t>63. Notices</w:t>
      </w:r>
    </w:p>
    <w:p>
      <w:r>
        <w:t>Formal notices may be given by email, client portal, written notice or another agreed electronic method. The Client must maintain current contact information.</w:t>
      </w:r>
    </w:p>
    <w:p>
      <w:pPr>
        <w:pStyle w:val="Heading1"/>
      </w:pPr>
      <w:r>
        <w:t>64. Client Acknowledgements</w:t>
      </w:r>
    </w:p>
    <w:p>
      <w:r>
        <w:rPr>
          <w:b/>
        </w:rPr>
        <w:t>Acknowledgement 1</w:t>
      </w:r>
      <w:r>
        <w:t xml:space="preserve">  [REQUIRED]</w:t>
      </w:r>
    </w:p>
    <w:p>
      <w:r>
        <w:t>Options: Accepted</w:t>
      </w:r>
    </w:p>
    <w:p>
      <w:r>
        <w:rPr>
          <w:b/>
        </w:rPr>
        <w:t>Acknowledgement 2</w:t>
      </w:r>
      <w:r>
        <w:t xml:space="preserve">  [REQUIRED]</w:t>
      </w:r>
    </w:p>
    <w:p>
      <w:r>
        <w:t>Options: Accepted</w:t>
      </w:r>
    </w:p>
    <w:p>
      <w:r>
        <w:rPr>
          <w:b/>
        </w:rPr>
        <w:t>Acknowledgement 3</w:t>
      </w:r>
      <w:r>
        <w:t xml:space="preserve">  [REQUIRED]</w:t>
      </w:r>
    </w:p>
    <w:p>
      <w:r>
        <w:t>Options: Accepted</w:t>
      </w:r>
    </w:p>
    <w:p>
      <w:r>
        <w:rPr>
          <w:b/>
        </w:rPr>
        <w:t>Acknowledgement 4</w:t>
      </w:r>
      <w:r>
        <w:t xml:space="preserve">  [REQUIRED]</w:t>
      </w:r>
    </w:p>
    <w:p>
      <w:r>
        <w:t>Options: Accepted</w:t>
      </w:r>
    </w:p>
    <w:p>
      <w:r>
        <w:rPr>
          <w:b/>
        </w:rPr>
        <w:t>Acknowledgement 5</w:t>
      </w:r>
      <w:r>
        <w:t xml:space="preserve">  [REQUIRED]</w:t>
      </w:r>
    </w:p>
    <w:p>
      <w:r>
        <w:t>Options: Accepted</w:t>
      </w:r>
    </w:p>
    <w:p>
      <w:r>
        <w:rPr>
          <w:b/>
        </w:rPr>
        <w:t>Acknowledgement 6</w:t>
      </w:r>
      <w:r>
        <w:t xml:space="preserve">  [REQUIRED]</w:t>
      </w:r>
    </w:p>
    <w:p>
      <w:r>
        <w:t>Options: Accepted</w:t>
      </w:r>
    </w:p>
    <w:p>
      <w:r>
        <w:rPr>
          <w:b/>
        </w:rPr>
        <w:t>Acknowledgement 7</w:t>
      </w:r>
      <w:r>
        <w:t xml:space="preserve">  [REQUIRED]</w:t>
      </w:r>
    </w:p>
    <w:p>
      <w:r>
        <w:t>Options: Accepted</w:t>
      </w:r>
    </w:p>
    <w:p>
      <w:r>
        <w:rPr>
          <w:b/>
        </w:rPr>
        <w:t>Acknowledgement 8</w:t>
      </w:r>
      <w:r>
        <w:t xml:space="preserve">  [REQUIRED]</w:t>
      </w:r>
    </w:p>
    <w:p>
      <w:r>
        <w:t>Options: Accepted</w:t>
      </w:r>
    </w:p>
    <w:p>
      <w:r>
        <w:rPr>
          <w:b/>
        </w:rPr>
        <w:t>Acknowledgement 9</w:t>
      </w:r>
      <w:r>
        <w:t xml:space="preserve">  [REQUIRED]</w:t>
      </w:r>
    </w:p>
    <w:p>
      <w:r>
        <w:t>Options: Accepted</w:t>
      </w:r>
    </w:p>
    <w:p>
      <w:r>
        <w:rPr>
          <w:b/>
        </w:rPr>
        <w:t>Acknowledgement 10</w:t>
      </w:r>
      <w:r>
        <w:t xml:space="preserve">  [REQUIRED]</w:t>
      </w:r>
    </w:p>
    <w:p>
      <w:r>
        <w:t>Options: Accepted</w:t>
      </w:r>
    </w:p>
    <w:p>
      <w:r>
        <w:rPr>
          <w:b/>
        </w:rPr>
        <w:t>Acknowledgement 11</w:t>
      </w:r>
      <w:r>
        <w:t xml:space="preserve">  [REQUIRED]</w:t>
      </w:r>
    </w:p>
    <w:p>
      <w:r>
        <w:t>Options: Accepted</w:t>
      </w:r>
    </w:p>
    <w:p>
      <w:r>
        <w:rPr>
          <w:b/>
        </w:rPr>
        <w:t>Acknowledgement 12</w:t>
      </w:r>
      <w:r>
        <w:t xml:space="preserve">  [REQUIRED]</w:t>
      </w:r>
    </w:p>
    <w:p>
      <w:r>
        <w:t>Options: Accepted</w:t>
      </w:r>
    </w:p>
    <w:p>
      <w:r>
        <w:rPr>
          <w:b/>
        </w:rPr>
        <w:t>Acknowledgement 13</w:t>
      </w:r>
      <w:r>
        <w:t xml:space="preserve">  [REQUIRED]</w:t>
      </w:r>
    </w:p>
    <w:p>
      <w:r>
        <w:t>Options: Accepted</w:t>
      </w:r>
    </w:p>
    <w:p>
      <w:pPr>
        <w:pStyle w:val="Heading1"/>
      </w:pPr>
      <w:r>
        <w:t>65. Acceptance Block</w:t>
      </w:r>
    </w:p>
    <w:p>
      <w:r>
        <w:rPr>
          <w:b/>
        </w:rPr>
        <w:t>Client / authorised signatory name</w:t>
      </w:r>
      <w:r>
        <w:t xml:space="preserve">  [REQUIRED]</w:t>
      </w:r>
    </w:p>
    <w:p>
      <w:r>
        <w:rPr>
          <w:b/>
        </w:rPr>
        <w:t>Capacity</w:t>
      </w:r>
      <w:r>
        <w:t xml:space="preserve">  [REQUIRED]</w:t>
      </w:r>
    </w:p>
    <w:p>
      <w:r>
        <w:t>Options: Individual client | Director | Secretary | Trustee | Partner | Authorised agent | Other</w:t>
      </w:r>
    </w:p>
    <w:p>
      <w:r>
        <w:rPr>
          <w:b/>
        </w:rPr>
        <w:t>Other capacity</w:t>
      </w:r>
      <w:r>
        <w:t xml:space="preserve">  [CONDITIONAL: Capacity = Other]</w:t>
      </w:r>
    </w:p>
    <w:p>
      <w:r>
        <w:rPr>
          <w:b/>
        </w:rPr>
        <w:t>Signature</w:t>
      </w:r>
      <w:r>
        <w:t xml:space="preserve">  [REQUIRED]</w:t>
      </w:r>
    </w:p>
    <w:p>
      <w:r>
        <w:rPr>
          <w:b/>
        </w:rPr>
        <w:t>Date</w:t>
      </w:r>
      <w:r>
        <w:t xml:space="preserve">  [REQUIRED]</w:t>
      </w:r>
    </w:p>
    <w:p>
      <w:r>
        <w:rPr>
          <w:b/>
        </w:rPr>
        <w:t>Financially Up authorised representative name</w:t>
      </w:r>
      <w:r>
        <w:t xml:space="preserve">  [REQUIRED]</w:t>
      </w:r>
    </w:p>
    <w:p>
      <w:r>
        <w:rPr>
          <w:b/>
        </w:rPr>
        <w:t>Position</w:t>
      </w:r>
      <w:r>
        <w:t xml:space="preserve">  [REQUIRED]</w:t>
      </w:r>
    </w:p>
    <w:p>
      <w:r>
        <w:rPr>
          <w:b/>
        </w:rPr>
        <w:t>Signature</w:t>
      </w:r>
    </w:p>
    <w:p>
      <w:r>
        <w:rPr>
          <w:b/>
        </w:rPr>
        <w:t>Date</w:t>
      </w:r>
    </w:p>
    <w:p>
      <w:pPr>
        <w:pStyle w:val="Heading1"/>
      </w:pPr>
      <w:r>
        <w:t>66. Electronic Acceptance Audit Record</w:t>
      </w:r>
    </w:p>
    <w:p>
      <w:r>
        <w:t>These fields are system-generated and should not normally be editable by the client.</w:t>
      </w:r>
    </w:p>
    <w:p>
      <w:r>
        <w:rPr>
          <w:b/>
        </w:rPr>
        <w:t>Engagement reference number</w:t>
      </w:r>
    </w:p>
    <w:p>
      <w:r>
        <w:rPr>
          <w:b/>
        </w:rPr>
        <w:t>Terms version accepted</w:t>
      </w:r>
    </w:p>
    <w:p>
      <w:r>
        <w:rPr>
          <w:b/>
        </w:rPr>
        <w:t>Exact document identifier/hash where implemented</w:t>
      </w:r>
    </w:p>
    <w:p>
      <w:r>
        <w:rPr>
          <w:b/>
        </w:rPr>
        <w:t>Client/signatory</w:t>
      </w:r>
    </w:p>
    <w:p>
      <w:r>
        <w:rPr>
          <w:b/>
        </w:rPr>
        <w:t>Signatory capacity</w:t>
      </w:r>
    </w:p>
    <w:p>
      <w:r>
        <w:rPr>
          <w:b/>
        </w:rPr>
        <w:t>Acceptance method</w:t>
      </w:r>
    </w:p>
    <w:p>
      <w:r>
        <w:rPr>
          <w:b/>
        </w:rPr>
        <w:t>Acceptance date</w:t>
      </w:r>
    </w:p>
    <w:p>
      <w:r>
        <w:rPr>
          <w:b/>
        </w:rPr>
        <w:t>Acceptance time</w:t>
      </w:r>
    </w:p>
    <w:p>
      <w:r>
        <w:rPr>
          <w:b/>
        </w:rPr>
        <w:t>Timezone</w:t>
      </w:r>
    </w:p>
    <w:p>
      <w:r>
        <w:rPr>
          <w:b/>
        </w:rPr>
        <w:t>IP address where appropriate</w:t>
      </w:r>
    </w:p>
    <w:p>
      <w:r>
        <w:rPr>
          <w:b/>
        </w:rPr>
        <w:t>User agent where appropriate</w:t>
      </w:r>
    </w:p>
    <w:p>
      <w:r>
        <w:rPr>
          <w:b/>
        </w:rPr>
        <w:t>Signature evidence/reference</w:t>
      </w:r>
    </w:p>
    <w:p>
      <w:pPr>
        <w:pStyle w:val="Heading1"/>
      </w:pPr>
      <w:r>
        <w:t>67. PDF and Document Handling</w:t>
      </w:r>
    </w:p>
    <w:p>
      <w:pPr>
        <w:pStyle w:val="ListBullet"/>
      </w:pPr>
      <w:r>
        <w:t>The system must preserve the exact Terms version accepted by the Client.</w:t>
      </w:r>
    </w:p>
    <w:p>
      <w:pPr>
        <w:pStyle w:val="ListBullet"/>
      </w:pPr>
      <w:r>
        <w:t>The accepted Terms must be associated with the engagement record.</w:t>
      </w:r>
    </w:p>
    <w:p>
      <w:pPr>
        <w:pStyle w:val="ListBullet"/>
      </w:pPr>
      <w:r>
        <w:t>The final application PDF should record the Terms version accepted.</w:t>
      </w:r>
    </w:p>
    <w:p>
      <w:pPr>
        <w:pStyle w:val="ListBullet"/>
      </w:pPr>
      <w:r>
        <w:t>If the complete Terms are appended to the final PDF, the appendix must use the same version accepted by the Client.</w:t>
      </w:r>
    </w:p>
    <w:p>
      <w:pPr>
        <w:pStyle w:val="ListBullet"/>
      </w:pPr>
      <w:r>
        <w:t>If the Terms are stored as a separate signed PDF, the final engagement record must link to that file.</w:t>
      </w:r>
    </w:p>
    <w:p>
      <w:pPr>
        <w:pStyle w:val="ListBullet"/>
      </w:pPr>
      <w:r>
        <w:t>Do not regenerate an old engagement using the latest Terms version.</w:t>
      </w:r>
    </w:p>
    <w:p>
      <w:pPr>
        <w:pStyle w:val="Heading1"/>
      </w:pPr>
      <w:r>
        <w:t>68. Version Control</w:t>
      </w:r>
    </w:p>
    <w:p>
      <w:r>
        <w:rPr>
          <w:b/>
        </w:rPr>
        <w:t>Document name</w:t>
      </w:r>
    </w:p>
    <w:p>
      <w:r>
        <w:rPr>
          <w:b/>
        </w:rPr>
        <w:t>Version</w:t>
      </w:r>
    </w:p>
    <w:p>
      <w:r>
        <w:rPr>
          <w:b/>
        </w:rPr>
        <w:t>Effective date</w:t>
      </w:r>
    </w:p>
    <w:p>
      <w:r>
        <w:rPr>
          <w:b/>
        </w:rPr>
        <w:t>Approved by</w:t>
      </w:r>
    </w:p>
    <w:p>
      <w:r>
        <w:rPr>
          <w:b/>
        </w:rPr>
        <w:t>Approval date</w:t>
      </w:r>
    </w:p>
    <w:p>
      <w:r>
        <w:rPr>
          <w:b/>
        </w:rPr>
        <w:t>Next review date</w:t>
      </w:r>
    </w:p>
    <w:p>
      <w:r>
        <w:rPr>
          <w:b/>
        </w:rPr>
        <w:t>Supersedes version</w:t>
      </w:r>
    </w:p>
    <w:p>
      <w:pPr>
        <w:pStyle w:val="Heading1"/>
      </w:pPr>
      <w:r>
        <w:t>69. Legal Review Requirement</w:t>
      </w:r>
    </w:p>
    <w:p>
      <w:r>
        <w:t>This document is a proposed legal/business drafting specification for Financially Up's company registration workflow. Before production use, Australian legal/compliance counsel should review the complete document, especially liability, consumer law, privacy, AML/CTF, professional obligations, tax-agent/BAS services, registered-office services, termination, governing law and any statutory consent requirements.</w:t>
      </w:r>
    </w:p>
    <w:p>
      <w:pPr>
        <w:pStyle w:val="Heading1"/>
      </w:pPr>
      <w:r>
        <w:t>70. AI Coding Agent Instructions</w:t>
      </w:r>
    </w:p>
    <w:p>
      <w:pPr>
        <w:pStyle w:val="ListBullet"/>
      </w:pPr>
      <w:r>
        <w:t>Treat this document as the authoritative specification for the general Terms of Engagement.</w:t>
      </w:r>
    </w:p>
    <w:p>
      <w:pPr>
        <w:pStyle w:val="ListBullet"/>
      </w:pPr>
      <w:r>
        <w:t>Do not convert every paragraph into a database field.</w:t>
      </w:r>
    </w:p>
    <w:p>
      <w:pPr>
        <w:pStyle w:val="ListBullet"/>
      </w:pPr>
      <w:r>
        <w:t>Render the Terms as a legal document that the Client can read.</w:t>
      </w:r>
    </w:p>
    <w:p>
      <w:pPr>
        <w:pStyle w:val="ListBullet"/>
      </w:pPr>
      <w:r>
        <w:t>Require one explicit acceptance of the Terms before the form can be finally submitted.</w:t>
      </w:r>
    </w:p>
    <w:p>
      <w:pPr>
        <w:pStyle w:val="ListBullet"/>
      </w:pPr>
      <w:r>
        <w:t>Keep the Terms accessible throughout the form.</w:t>
      </w:r>
    </w:p>
    <w:p>
      <w:pPr>
        <w:pStyle w:val="ListBullet"/>
      </w:pPr>
      <w:r>
        <w:t>Store the exact accepted Terms version and acceptance evidence.</w:t>
      </w:r>
    </w:p>
    <w:p>
      <w:pPr>
        <w:pStyle w:val="ListBullet"/>
      </w:pPr>
      <w:r>
        <w:t>Do not replace the Terms with a short generic checkbox statement.</w:t>
      </w:r>
    </w:p>
    <w:p>
      <w:pPr>
        <w:pStyle w:val="ListBullet"/>
      </w:pPr>
      <w:r>
        <w:t>Do not merge the Terms with the Privacy Collection Notice or Step 12 Client Declaration.</w:t>
      </w:r>
    </w:p>
    <w:p>
      <w:pPr>
        <w:pStyle w:val="ListBullet"/>
      </w:pPr>
      <w:r>
        <w:t>If a service-specific document applies, show the applicable document in addition to these Terms.</w:t>
      </w:r>
    </w:p>
    <w:p>
      <w:pPr>
        <w:pStyle w:val="ListBullet"/>
      </w:pPr>
      <w:r>
        <w:t>Do not silently alter legal wording when implementing the frontend.</w:t>
      </w:r>
    </w:p>
    <w:p>
      <w:pPr>
        <w:pStyle w:val="ListBullet"/>
      </w:pPr>
      <w:r>
        <w:t>If legal wording changes, create a new document version and preserve historical versions.</w:t>
      </w:r>
    </w:p>
    <w:p>
      <w:pPr>
        <w:pStyle w:val="Heading1"/>
      </w:pPr>
      <w:r>
        <w:t>71. Final Placement Summary</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Form Area</w:t>
            </w:r>
          </w:p>
        </w:tc>
        <w:tc>
          <w:tcPr>
            <w:tcW w:type="dxa" w:w="2045"/>
          </w:tcPr>
          <w:p>
            <w:r>
              <w:t>Document 2 Role</w:t>
            </w:r>
          </w:p>
        </w:tc>
        <w:tc>
          <w:tcPr>
            <w:tcW w:type="dxa" w:w="2045"/>
          </w:tcPr>
          <w:p>
            <w:r>
              <w:t>Client Sees Full Text?</w:t>
            </w:r>
          </w:p>
        </w:tc>
        <w:tc>
          <w:tcPr>
            <w:tcW w:type="dxa" w:w="2045"/>
          </w:tcPr>
          <w:p>
            <w:r>
              <w:t>Acceptance?</w:t>
            </w:r>
          </w:p>
        </w:tc>
        <w:tc>
          <w:tcPr>
            <w:tcW w:type="dxa" w:w="2045"/>
          </w:tcPr>
          <w:p>
            <w:r>
              <w:t>Separate Record?</w:t>
            </w:r>
          </w:p>
        </w:tc>
      </w:tr>
      <w:tr>
        <w:tc>
          <w:tcPr>
            <w:tcW w:type="dxa" w:w="2045"/>
          </w:tcPr>
          <w:p>
            <w:r>
              <w:t>Before Step 1</w:t>
            </w:r>
          </w:p>
        </w:tc>
        <w:tc>
          <w:tcPr>
            <w:tcW w:type="dxa" w:w="2045"/>
          </w:tcPr>
          <w:p>
            <w:r>
              <w:t>Terms presented</w:t>
            </w:r>
          </w:p>
        </w:tc>
        <w:tc>
          <w:tcPr>
            <w:tcW w:type="dxa" w:w="2045"/>
          </w:tcPr>
          <w:p>
            <w:r>
              <w:t>Yes</w:t>
            </w:r>
          </w:p>
        </w:tc>
        <w:tc>
          <w:tcPr>
            <w:tcW w:type="dxa" w:w="2045"/>
          </w:tcPr>
          <w:p>
            <w:r>
              <w:t>Yes</w:t>
            </w:r>
          </w:p>
        </w:tc>
        <w:tc>
          <w:tcPr>
            <w:tcW w:type="dxa" w:w="2045"/>
          </w:tcPr>
          <w:p>
            <w:r>
              <w:t>Yes</w:t>
            </w:r>
          </w:p>
        </w:tc>
      </w:tr>
      <w:tr>
        <w:tc>
          <w:tcPr>
            <w:tcW w:type="dxa" w:w="2045"/>
          </w:tcPr>
          <w:p>
            <w:r>
              <w:t>Step 1</w:t>
            </w:r>
          </w:p>
        </w:tc>
        <w:tc>
          <w:tcPr>
            <w:tcW w:type="dxa" w:w="2045"/>
          </w:tcPr>
          <w:p>
            <w:r>
              <w:t>Service scope and engagement terms</w:t>
            </w:r>
          </w:p>
        </w:tc>
        <w:tc>
          <w:tcPr>
            <w:tcW w:type="dxa" w:w="2045"/>
          </w:tcPr>
          <w:p>
            <w:r>
              <w:t>Accessible</w:t>
            </w:r>
          </w:p>
        </w:tc>
        <w:tc>
          <w:tcPr>
            <w:tcW w:type="dxa" w:w="2045"/>
          </w:tcPr>
          <w:p>
            <w:r>
              <w:t>Already accepted</w:t>
            </w:r>
          </w:p>
        </w:tc>
        <w:tc>
          <w:tcPr>
            <w:tcW w:type="dxa" w:w="2045"/>
          </w:tcPr>
          <w:p>
            <w:r>
              <w:t>Reference</w:t>
            </w:r>
          </w:p>
        </w:tc>
      </w:tr>
      <w:tr>
        <w:tc>
          <w:tcPr>
            <w:tcW w:type="dxa" w:w="2045"/>
          </w:tcPr>
          <w:p>
            <w:r>
              <w:t>Steps 2-12</w:t>
            </w:r>
          </w:p>
        </w:tc>
        <w:tc>
          <w:tcPr>
            <w:tcW w:type="dxa" w:w="2045"/>
          </w:tcPr>
          <w:p>
            <w:r>
              <w:t>Governs form engagement</w:t>
            </w:r>
          </w:p>
        </w:tc>
        <w:tc>
          <w:tcPr>
            <w:tcW w:type="dxa" w:w="2045"/>
          </w:tcPr>
          <w:p>
            <w:r>
              <w:t>Accessible</w:t>
            </w:r>
          </w:p>
        </w:tc>
        <w:tc>
          <w:tcPr>
            <w:tcW w:type="dxa" w:w="2045"/>
          </w:tcPr>
          <w:p>
            <w:r>
              <w:t>No repeat acceptance</w:t>
            </w:r>
          </w:p>
        </w:tc>
        <w:tc>
          <w:tcPr>
            <w:tcW w:type="dxa" w:w="2045"/>
          </w:tcPr>
          <w:p>
            <w:r>
              <w:t>Reference</w:t>
            </w:r>
          </w:p>
        </w:tc>
      </w:tr>
      <w:tr>
        <w:tc>
          <w:tcPr>
            <w:tcW w:type="dxa" w:w="2045"/>
          </w:tcPr>
          <w:p>
            <w:r>
              <w:t>Final Review</w:t>
            </w:r>
          </w:p>
        </w:tc>
        <w:tc>
          <w:tcPr>
            <w:tcW w:type="dxa" w:w="2045"/>
          </w:tcPr>
          <w:p>
            <w:r>
              <w:t>Terms version identified</w:t>
            </w:r>
          </w:p>
        </w:tc>
        <w:tc>
          <w:tcPr>
            <w:tcW w:type="dxa" w:w="2045"/>
          </w:tcPr>
          <w:p>
            <w:r>
              <w:t>Yes</w:t>
            </w:r>
          </w:p>
        </w:tc>
        <w:tc>
          <w:tcPr>
            <w:tcW w:type="dxa" w:w="2045"/>
          </w:tcPr>
          <w:p>
            <w:r>
              <w:t>Confirm submission</w:t>
            </w:r>
          </w:p>
        </w:tc>
        <w:tc>
          <w:tcPr>
            <w:tcW w:type="dxa" w:w="2045"/>
          </w:tcPr>
          <w:p>
            <w:r>
              <w:t>Reference</w:t>
            </w:r>
          </w:p>
        </w:tc>
      </w:tr>
      <w:tr>
        <w:tc>
          <w:tcPr>
            <w:tcW w:type="dxa" w:w="2045"/>
          </w:tcPr>
          <w:p>
            <w:r>
              <w:t>Final PDF</w:t>
            </w:r>
          </w:p>
        </w:tc>
        <w:tc>
          <w:tcPr>
            <w:tcW w:type="dxa" w:w="2045"/>
          </w:tcPr>
          <w:p>
            <w:r>
              <w:t>Accepted Terms recorded/attached</w:t>
            </w:r>
          </w:p>
        </w:tc>
        <w:tc>
          <w:tcPr>
            <w:tcW w:type="dxa" w:w="2045"/>
          </w:tcPr>
          <w:p>
            <w:r>
              <w:t>As configured</w:t>
            </w:r>
          </w:p>
        </w:tc>
        <w:tc>
          <w:tcPr>
            <w:tcW w:type="dxa" w:w="2045"/>
          </w:tcPr>
          <w:p>
            <w:r>
              <w:t>Already accepted</w:t>
            </w:r>
          </w:p>
        </w:tc>
        <w:tc>
          <w:tcPr>
            <w:tcW w:type="dxa" w:w="2045"/>
          </w:tcPr>
          <w:p>
            <w:r>
              <w:t>Yes</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Financially Up - Company Registration Terms of Engagement - Document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