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9. TPB Client Information Statement</w:t>
      </w:r>
    </w:p>
    <w:p>
      <w:r>
        <w:rPr>
          <w:rFonts w:ascii="Aptos" w:eastAsia="Aptos" w:hAnsi="Aptos" w:cs="Aptos"/>
          <w:b/>
          <w:color w:val="005B3C"/>
          <w:sz w:val="20"/>
          <w:szCs w:val="20"/>
        </w:rPr>
        <w:t xml:space="preserve">Client-facing statement</w:t>
        <w:br/>
      </w:r>
      <w:r>
        <w:rPr>
          <w:rFonts w:ascii="Aptos" w:eastAsia="Aptos" w:hAnsi="Aptos" w:cs="Aptos"/>
          <w:color w:val="1F2A25"/>
          <w:sz w:val="18"/>
          <w:szCs w:val="18"/>
        </w:rPr>
        <w:t xml:space="preserve">Financially Up is a registered tax agent. The Tax Practitioners Board maintains a public register of registered tax and BAS agents and provides a complaint process. Financially Up must act honestly and with integrity, lawfully in the client’s best interests, protect confidential information, manage conflicts, provide competent services and take reasonable care. Clients must provide truthful, complete and timely information, keep required records, review documents before approval and cooperate with reasonable requests.</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