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widowControl w:val="true"/>
      </w:pPr>
      <w:r>
        <w:rPr>
          <w:rFonts w:ascii="Liberation Sans" w:hAnsi="Liberation Sans" w:eastAsia="Liberation Sans"/>
          <w:b/>
          <w:i w:val="0"/>
          <w:color w:val="2F75B5"/>
          <w:sz w:val="22"/>
        </w:rPr>
        <w:t>KURIOSITY ENGINEERING PLATFORM</w:t>
      </w:r>
    </w:p>
    <w:p>
      <w:pPr>
        <w:spacing w:before="400" w:after="160"/>
        <w:jc w:val="center"/>
        <w:widowControl w:val="true"/>
      </w:pPr>
      <w:r>
        <w:rPr>
          <w:rFonts w:ascii="Liberation Sans" w:hAnsi="Liberation Sans" w:eastAsia="Liberation Sans"/>
          <w:b/>
          <w:i w:val="0"/>
          <w:color w:val="17365D"/>
          <w:sz w:val="62"/>
        </w:rPr>
        <w:t>KEP-001</w:t>
      </w:r>
    </w:p>
    <w:p>
      <w:pPr>
        <w:spacing w:after="120"/>
        <w:jc w:val="center"/>
        <w:widowControl w:val="true"/>
      </w:pPr>
      <w:r>
        <w:rPr>
          <w:rFonts w:ascii="Liberation Sans" w:hAnsi="Liberation Sans" w:eastAsia="Liberation Sans"/>
          <w:b/>
          <w:i w:val="0"/>
          <w:color w:val="17365D"/>
          <w:sz w:val="50"/>
        </w:rPr>
        <w:t>Platform Scope, Boundaries,</w:t>
        <w:br/>
        <w:t>and Operating Model</w:t>
      </w:r>
    </w:p>
    <w:p>
      <w:pPr>
        <w:spacing w:before="200"/>
        <w:jc w:val="center"/>
        <w:widowControl w:val="true"/>
      </w:pPr>
      <w:r>
        <w:rPr>
          <w:rFonts w:ascii="Liberation Sans" w:hAnsi="Liberation Sans" w:eastAsia="Liberation Sans"/>
          <w:b w:val="0"/>
          <w:i/>
          <w:color w:val="5B6573"/>
          <w:sz w:val="22"/>
        </w:rPr>
        <w:t>Foundational platform policy subordinate to KEP-000</w:t>
      </w:r>
    </w:p>
    <w:p>
      <w:pPr>
        <w:jc w:val="center"/>
        <w:widowControl w:val="true"/>
      </w:pPr>
      <w:r>
        <w:rPr>
          <w:rFonts w:ascii="Liberation Sans" w:hAnsi="Liberation Sans" w:eastAsia="Liberation Sans"/>
          <w:b w:val="0"/>
          <w:i w:val="0"/>
          <w:color w:val="D9EAF7"/>
          <w:sz w:val="22"/>
        </w:rPr>
        <w:t>━━━━━━━━━━━━━━━━━━━━━━━━━━━━━━━━━━━━━━</w:t>
      </w:r>
    </w:p>
    <w:tbl>
      <w:tblPr>
        <w:tblW w:type="auto" w:w="0"/>
        <w:jc w:val="center"/>
        <w:tblLayout w:type="fixed"/>
        <w:tblLook w:firstColumn="1" w:firstRow="1" w:lastColumn="0" w:lastRow="0" w:noHBand="0" w:noVBand="1" w:val="04A0"/>
        <w:tblBorders>
          <w:top w:val="single" w:sz="5" w:space="0" w:color="D7DCE2"/>
          <w:left w:val="single" w:sz="5" w:space="0" w:color="D7DCE2"/>
          <w:bottom w:val="single" w:sz="5" w:space="0" w:color="D7DCE2"/>
          <w:right w:val="single" w:sz="5" w:space="0" w:color="D7DCE2"/>
          <w:insideH w:val="single" w:sz="5" w:space="0" w:color="D7DCE2"/>
          <w:insideV w:val="single" w:sz="5" w:space="0" w:color="D7DCE2"/>
        </w:tblBorders>
      </w:tblPr>
      <w:tblGrid>
        <w:gridCol w:w="5040"/>
        <w:gridCol w:w="5040"/>
      </w:tblGrid>
      <w:tr>
        <w:tc>
          <w:tcPr>
            <w:tcW w:type="dxa" w:w="2880"/>
            <w:tcMar>
              <w:top w:w="110" w:type="dxa"/>
              <w:start w:w="120" w:type="dxa"/>
              <w:bottom w:w="110" w:type="dxa"/>
              <w:end w:w="120" w:type="dxa"/>
            </w:tcMar>
            <w:shd w:fill="EEF5FB"/>
          </w:tcPr>
          <w:p>
            <w:pPr>
              <w:spacing w:after="0"/>
            </w:pPr>
            <w:r>
              <w:rPr>
                <w:rFonts w:ascii="Liberation Sans" w:hAnsi="Liberation Sans" w:eastAsia="Liberation Sans"/>
                <w:b/>
                <w:color w:val="1F2937"/>
                <w:sz w:val="18"/>
              </w:rPr>
              <w:t>Document ID</w:t>
            </w:r>
          </w:p>
        </w:tc>
        <w:tc>
          <w:tcPr>
            <w:tcW w:type="dxa" w:w="6623"/>
            <w:tcMar>
              <w:top w:w="110" w:type="dxa"/>
              <w:start w:w="120" w:type="dxa"/>
              <w:bottom w:w="110" w:type="dxa"/>
              <w:end w:w="120" w:type="dxa"/>
            </w:tcMar>
          </w:tcPr>
          <w:p>
            <w:pPr>
              <w:spacing w:after="0"/>
            </w:pPr>
            <w:r>
              <w:rPr>
                <w:rFonts w:ascii="Liberation Sans" w:hAnsi="Liberation Sans" w:eastAsia="Liberation Sans"/>
                <w:b w:val="0"/>
                <w:color w:val="1F2937"/>
                <w:sz w:val="18"/>
              </w:rPr>
              <w:t>KEP-001</w:t>
            </w:r>
          </w:p>
        </w:tc>
      </w:tr>
      <w:tr>
        <w:tc>
          <w:tcPr>
            <w:tcW w:type="dxa" w:w="2880"/>
            <w:tcMar>
              <w:top w:w="110" w:type="dxa"/>
              <w:start w:w="120" w:type="dxa"/>
              <w:bottom w:w="110" w:type="dxa"/>
              <w:end w:w="120" w:type="dxa"/>
            </w:tcMar>
            <w:shd w:fill="EEF5FB"/>
          </w:tcPr>
          <w:p>
            <w:pPr>
              <w:spacing w:after="0"/>
            </w:pPr>
            <w:r>
              <w:rPr>
                <w:rFonts w:ascii="Liberation Sans" w:hAnsi="Liberation Sans" w:eastAsia="Liberation Sans"/>
                <w:b/>
                <w:color w:val="1F2937"/>
                <w:sz w:val="18"/>
              </w:rPr>
              <w:t>Status</w:t>
            </w:r>
          </w:p>
        </w:tc>
        <w:tc>
          <w:tcPr>
            <w:tcW w:type="dxa" w:w="6623"/>
            <w:tcMar>
              <w:top w:w="110" w:type="dxa"/>
              <w:start w:w="120" w:type="dxa"/>
              <w:bottom w:w="110" w:type="dxa"/>
              <w:end w:w="120" w:type="dxa"/>
            </w:tcMar>
          </w:tcPr>
          <w:p>
            <w:r/>
            <w:r>
              <w:rPr>
                <w:b w:val="0"/>
              </w:rPr>
              <w:t>Ratified</w:t>
            </w:r>
          </w:p>
        </w:tc>
      </w:tr>
      <w:tr>
        <w:tc>
          <w:tcPr>
            <w:tcW w:type="dxa" w:w="2880"/>
            <w:tcMar>
              <w:top w:w="110" w:type="dxa"/>
              <w:start w:w="120" w:type="dxa"/>
              <w:bottom w:w="110" w:type="dxa"/>
              <w:end w:w="120" w:type="dxa"/>
            </w:tcMar>
            <w:shd w:fill="EEF5FB"/>
          </w:tcPr>
          <w:p>
            <w:pPr>
              <w:spacing w:after="0"/>
            </w:pPr>
            <w:r>
              <w:rPr>
                <w:rFonts w:ascii="Liberation Sans" w:hAnsi="Liberation Sans" w:eastAsia="Liberation Sans"/>
                <w:b/>
                <w:color w:val="1F2937"/>
                <w:sz w:val="18"/>
              </w:rPr>
              <w:t>Version</w:t>
            </w:r>
          </w:p>
        </w:tc>
        <w:tc>
          <w:tcPr>
            <w:tcW w:type="dxa" w:w="6623"/>
            <w:tcMar>
              <w:top w:w="110" w:type="dxa"/>
              <w:start w:w="120" w:type="dxa"/>
              <w:bottom w:w="110" w:type="dxa"/>
              <w:end w:w="120" w:type="dxa"/>
            </w:tcMar>
          </w:tcPr>
          <w:p>
            <w:r/>
            <w:r>
              <w:rPr>
                <w:b w:val="0"/>
              </w:rPr>
              <w:t>1.0</w:t>
            </w:r>
          </w:p>
        </w:tc>
      </w:tr>
      <w:tr>
        <w:tc>
          <w:tcPr>
            <w:tcW w:type="dxa" w:w="2880"/>
            <w:tcMar>
              <w:top w:w="110" w:type="dxa"/>
              <w:start w:w="120" w:type="dxa"/>
              <w:bottom w:w="110" w:type="dxa"/>
              <w:end w:w="120" w:type="dxa"/>
            </w:tcMar>
            <w:shd w:fill="EEF5FB"/>
          </w:tcPr>
          <w:p>
            <w:pPr>
              <w:spacing w:after="0"/>
            </w:pPr>
            <w:r>
              <w:rPr>
                <w:rFonts w:ascii="Liberation Sans" w:hAnsi="Liberation Sans" w:eastAsia="Liberation Sans"/>
                <w:b/>
                <w:color w:val="1F2937"/>
                <w:sz w:val="18"/>
              </w:rPr>
              <w:t>Authority</w:t>
            </w:r>
          </w:p>
        </w:tc>
        <w:tc>
          <w:tcPr>
            <w:tcW w:type="dxa" w:w="6623"/>
            <w:tcMar>
              <w:top w:w="110" w:type="dxa"/>
              <w:start w:w="120" w:type="dxa"/>
              <w:bottom w:w="110" w:type="dxa"/>
              <w:end w:w="120" w:type="dxa"/>
            </w:tcMar>
          </w:tcPr>
          <w:p>
            <w:pPr>
              <w:spacing w:after="0"/>
            </w:pPr>
            <w:r>
              <w:rPr>
                <w:rFonts w:ascii="Liberation Sans" w:hAnsi="Liberation Sans" w:eastAsia="Liberation Sans"/>
                <w:b w:val="0"/>
                <w:color w:val="1F2937"/>
                <w:sz w:val="18"/>
              </w:rPr>
              <w:t>KEP-000 - Founding Charter, Version 1.0</w:t>
            </w:r>
          </w:p>
        </w:tc>
      </w:tr>
      <w:tr>
        <w:tc>
          <w:tcPr>
            <w:tcW w:type="dxa" w:w="2880"/>
            <w:tcMar>
              <w:top w:w="110" w:type="dxa"/>
              <w:start w:w="120" w:type="dxa"/>
              <w:bottom w:w="110" w:type="dxa"/>
              <w:end w:w="120" w:type="dxa"/>
            </w:tcMar>
            <w:shd w:fill="EEF5FB"/>
          </w:tcPr>
          <w:p>
            <w:pPr>
              <w:spacing w:after="0"/>
            </w:pPr>
            <w:r>
              <w:rPr>
                <w:rFonts w:ascii="Liberation Sans" w:hAnsi="Liberation Sans" w:eastAsia="Liberation Sans"/>
                <w:b/>
                <w:color w:val="1F2937"/>
                <w:sz w:val="18"/>
              </w:rPr>
              <w:t>Authority Classification</w:t>
            </w:r>
          </w:p>
        </w:tc>
        <w:tc>
          <w:tcPr>
            <w:tcW w:type="dxa" w:w="6623"/>
            <w:tcMar>
              <w:top w:w="110" w:type="dxa"/>
              <w:start w:w="120" w:type="dxa"/>
              <w:bottom w:w="110" w:type="dxa"/>
              <w:end w:w="120" w:type="dxa"/>
            </w:tcMar>
          </w:tcPr>
          <w:p>
            <w:pPr>
              <w:spacing w:after="0"/>
            </w:pPr>
            <w:r>
              <w:rPr>
                <w:rFonts w:ascii="Liberation Sans" w:hAnsi="Liberation Sans" w:eastAsia="Liberation Sans"/>
                <w:b w:val="0"/>
                <w:color w:val="1F2937"/>
                <w:sz w:val="18"/>
              </w:rPr>
              <w:t>Foundational Platform Policy; subordinate to KEP-000</w:t>
            </w:r>
          </w:p>
        </w:tc>
      </w:tr>
      <w:tr>
        <w:tc>
          <w:tcPr>
            <w:tcW w:type="dxa" w:w="2880"/>
            <w:tcMar>
              <w:top w:w="110" w:type="dxa"/>
              <w:start w:w="120" w:type="dxa"/>
              <w:bottom w:w="110" w:type="dxa"/>
              <w:end w:w="120" w:type="dxa"/>
            </w:tcMar>
            <w:shd w:fill="EEF5FB"/>
          </w:tcPr>
          <w:p>
            <w:pPr>
              <w:spacing w:after="0"/>
            </w:pPr>
            <w:r>
              <w:rPr>
                <w:rFonts w:ascii="Liberation Sans" w:hAnsi="Liberation Sans" w:eastAsia="Liberation Sans"/>
                <w:b/>
                <w:color w:val="1F2937"/>
                <w:sz w:val="18"/>
              </w:rPr>
              <w:t>Effective Date</w:t>
            </w:r>
          </w:p>
        </w:tc>
        <w:tc>
          <w:tcPr>
            <w:tcW w:type="dxa" w:w="6623"/>
            <w:tcMar>
              <w:top w:w="110" w:type="dxa"/>
              <w:start w:w="120" w:type="dxa"/>
              <w:bottom w:w="110" w:type="dxa"/>
              <w:end w:w="120" w:type="dxa"/>
            </w:tcMar>
          </w:tcPr>
          <w:p>
            <w:r/>
            <w:r>
              <w:rPr>
                <w:b w:val="0"/>
              </w:rPr>
              <w:t>Upon ratification by the Founding Authority</w:t>
            </w:r>
          </w:p>
        </w:tc>
      </w:tr>
      <w:tr>
        <w:tc>
          <w:tcPr>
            <w:tcW w:type="dxa" w:w="2880"/>
            <w:tcMar>
              <w:top w:w="110" w:type="dxa"/>
              <w:start w:w="120" w:type="dxa"/>
              <w:bottom w:w="110" w:type="dxa"/>
              <w:end w:w="120" w:type="dxa"/>
            </w:tcMar>
            <w:shd w:fill="EEF5FB"/>
          </w:tcPr>
          <w:p>
            <w:pPr>
              <w:spacing w:after="0"/>
            </w:pPr>
            <w:r>
              <w:rPr>
                <w:rFonts w:ascii="Liberation Sans" w:hAnsi="Liberation Sans" w:eastAsia="Liberation Sans"/>
                <w:b/>
                <w:color w:val="1F2937"/>
                <w:sz w:val="18"/>
              </w:rPr>
              <w:t>Applies To</w:t>
            </w:r>
          </w:p>
        </w:tc>
        <w:tc>
          <w:tcPr>
            <w:tcW w:type="dxa" w:w="6623"/>
            <w:tcMar>
              <w:top w:w="110" w:type="dxa"/>
              <w:start w:w="120" w:type="dxa"/>
              <w:bottom w:w="110" w:type="dxa"/>
              <w:end w:w="120" w:type="dxa"/>
            </w:tcMar>
          </w:tcPr>
          <w:p>
            <w:r/>
            <w:r>
              <w:rPr>
                <w:b w:val="0"/>
              </w:rPr>
              <w:t>KEP platform assets and product repositories that formally adopt KEP</w:t>
            </w:r>
          </w:p>
        </w:tc>
      </w:tr>
    </w:tbl>
    <w:p>
      <w:pPr>
        <w:spacing w:before="680"/>
        <w:jc w:val="center"/>
        <w:widowControl w:val="true"/>
      </w:pPr>
      <w:r>
        <w:rPr>
          <w:rFonts w:ascii="Liberation Sans" w:hAnsi="Liberation Sans" w:eastAsia="Liberation Sans"/>
          <w:b/>
          <w:i w:val="0"/>
          <w:color w:val="2F75B5"/>
          <w:sz w:val="20"/>
        </w:rPr>
        <w:t>Product-independent. Technology-neutral. Evidence-governed.</w:t>
      </w:r>
    </w:p>
    <w:p>
      <w:pPr>
        <w:spacing w:before="560"/>
        <w:jc w:val="center"/>
        <w:widowControl w:val="true"/>
      </w:pPr>
      <w:r>
        <w:t>Ratified</w:t>
      </w:r>
    </w:p>
    <w:p>
      <w:pPr>
        <w:widowControl w:val="true"/>
      </w:pPr>
      <w:r>
        <w:rPr>
          <w:rFonts w:ascii="Liberation Sans" w:hAnsi="Liberation Sans" w:eastAsia="Liberation Sans"/>
        </w:rPr>
        <w:br w:type="page"/>
      </w:r>
    </w:p>
    <w:p>
      <w:pPr>
        <w:pStyle w:val="Heading1"/>
        <w:keepNext/>
        <w:widowControl w:val="true"/>
      </w:pPr>
      <w:r>
        <w:rPr>
          <w:rFonts w:ascii="Liberation Sans" w:hAnsi="Liberation Sans" w:eastAsia="Liberation Sans"/>
        </w:rPr>
        <w:t>Document Control</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5040"/>
        <w:gridCol w:w="5040"/>
      </w:tblGrid>
      <w:tr>
        <w:trPr>
          <w:tblHeader w:val="true"/>
        </w:trPr>
        <w:tc>
          <w:tcPr>
            <w:tcW w:type="dxa" w:w="2376"/>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Field</w:t>
            </w:r>
          </w:p>
        </w:tc>
        <w:tc>
          <w:tcPr>
            <w:tcW w:type="dxa" w:w="7343"/>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Definition</w:t>
            </w:r>
          </w:p>
        </w:tc>
      </w:tr>
      <w:tr>
        <w:trPr>
          <w:cantSplit/>
        </w:trPr>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Normative authority</w:t>
            </w:r>
          </w:p>
        </w:tc>
        <w:tc>
          <w:tcPr>
            <w:tcW w:type="dxa" w:w="734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KEP-000 - Founding Charter, Version 1.0.</w:t>
            </w:r>
          </w:p>
        </w:tc>
      </w:tr>
      <w:tr>
        <w:trPr>
          <w:cantSplit/>
        </w:trPr>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Precedence</w:t>
            </w:r>
          </w:p>
        </w:tc>
        <w:tc>
          <w:tcPr>
            <w:tcW w:type="dxa" w:w="734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If this document conflicts with KEP-000, KEP-000 prevails. Applicable law and binding contractual obligations retain the higher precedence defined by KEP-000.</w:t>
            </w:r>
          </w:p>
        </w:tc>
      </w:tr>
      <w:tr>
        <w:trPr>
          <w:cantSplit/>
        </w:trPr>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Scope of authority</w:t>
            </w:r>
          </w:p>
        </w:tc>
        <w:tc>
          <w:tcPr>
            <w:tcW w:type="dxa" w:w="734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Defines platform scope, boundaries, operating relationships, subsystem responsibilities, lifecycle, decision rights, initial capability boundary, and adoption principles.</w:t>
            </w:r>
          </w:p>
        </w:tc>
      </w:tr>
      <w:tr>
        <w:trPr>
          <w:cantSplit/>
        </w:trPr>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Out of scope</w:t>
            </w:r>
          </w:p>
        </w:tc>
        <w:tc>
          <w:tcPr>
            <w:tcW w:type="dxa" w:w="734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Product-domain requirements, implementation code, vendor-specific procedures, and product release decisions.</w:t>
            </w:r>
          </w:p>
        </w:tc>
      </w:tr>
      <w:tr>
        <w:trPr>
          <w:cantSplit/>
        </w:trPr>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Ratification state</w:t>
            </w:r>
          </w:p>
        </w:tc>
        <w:tc>
          <w:tcPr>
            <w:tcW w:type="dxa" w:w="7343"/>
            <w:tcMar>
              <w:top w:w="80" w:type="dxa"/>
              <w:start w:w="90" w:type="dxa"/>
              <w:bottom w:w="80" w:type="dxa"/>
              <w:end w:w="90" w:type="dxa"/>
            </w:tcMar>
            <w:vAlign w:val="top"/>
          </w:tcPr>
          <w:p>
            <w:r/>
            <w:r>
              <w:rPr>
                <w:b w:val="0"/>
              </w:rPr>
              <w:t>Version 1.0 is ratified. Normative SHALL and MUST statements become binding upon approval by the named Founding Authority.</w:t>
            </w:r>
          </w:p>
        </w:tc>
      </w:tr>
      <w:tr>
        <w:trPr>
          <w:cantSplit/>
        </w:trPr>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Review cadence</w:t>
            </w:r>
          </w:p>
        </w:tc>
        <w:tc>
          <w:tcPr>
            <w:tcW w:type="dxa" w:w="7343"/>
            <w:tcMar>
              <w:top w:w="80" w:type="dxa"/>
              <w:start w:w="90" w:type="dxa"/>
              <w:bottom w:w="80" w:type="dxa"/>
              <w:end w:w="90" w:type="dxa"/>
            </w:tcMar>
            <w:shd w:fill="F5F6F8"/>
            <w:vAlign w:val="top"/>
          </w:tcPr>
          <w:p>
            <w:r/>
            <w:r>
              <w:rPr>
                <w:b w:val="0"/>
              </w:rPr>
              <w:t>Foundational governance: annual formal review. Operational policies and standards: review every six months. Exceptions: review at their defined expiry or review date. Immediate review is required upon a material legal, security, architecture, ownership, or platform-scope change.</w:t>
            </w:r>
          </w:p>
        </w:tc>
      </w:tr>
    </w:tbl>
    <w:p>
      <w:pPr>
        <w:spacing w:after="40"/>
        <w:widowControl w:val="true"/>
      </w:pPr>
    </w:p>
    <w:p>
      <w:pPr>
        <w:pStyle w:val="Heading2"/>
        <w:keepNext/>
        <w:widowControl w:val="true"/>
      </w:pPr>
      <w:r>
        <w:rPr>
          <w:rFonts w:ascii="Liberation Sans" w:hAnsi="Liberation Sans" w:eastAsia="Liberation Sans"/>
        </w:rPr>
        <w:t>Normative Language</w:t>
      </w:r>
    </w:p>
    <w:p>
      <w:pPr>
        <w:spacing w:after="100" w:line="269" w:lineRule="auto"/>
        <w:widowControl w:val="true"/>
      </w:pPr>
      <w:r>
        <w:rPr>
          <w:rFonts w:ascii="Liberation Sans" w:hAnsi="Liberation Sans" w:eastAsia="Liberation Sans"/>
          <w:i w:val="0"/>
        </w:rPr>
        <w:t>The terms MUST, MUST NOT, SHALL, SHALL NOT, SHOULD, SHOULD NOT, MAY, and MAY NOT express obligation as follows: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MUST / SHALL: mandatory for conformance unless a documented exception is approved.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MUST NOT / SHALL NOT: prohibited unless a higher authority explicitly permits an exception.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SHOULD / SHOULD NOT: the expected default; deviation requires recorded rationale when material.</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MAY / MAY NOT: permitted or discretionary within applicable constraints.</w:t>
      </w:r>
    </w:p>
    <w:p>
      <w:pPr>
        <w:pStyle w:val="Heading2"/>
        <w:keepNext/>
        <w:widowControl w:val="true"/>
      </w:pPr>
      <w:r>
        <w:rPr>
          <w:rFonts w:ascii="Liberation Sans" w:hAnsi="Liberation Sans" w:eastAsia="Liberation Sans"/>
        </w:rPr>
        <w:t>Interpretive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KEP-000 is the constitutional authority for this document and supplies the governing principles of intent, evidence, explicitness, controlled reuse, human accountability, repository knowledge, and controlled evolution.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This document defines operational boundaries; it does not supersede product charters, provided those charters do not contradict higher KEP authority.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product example does not create a product-specific platform requirement.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Silence in this document does not authorize a platform capability to absorb product-domain ownership.</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Founding decisions resolved for ratification are recorded in KEP-001A and incorporated in Section 19. Decisions still deferred remain non-authoritative until separately approved.</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EEF5FB"/>
            <w:tcMar>
              <w:top w:w="150" w:type="dxa"/>
              <w:start w:w="180" w:type="dxa"/>
              <w:bottom w:w="150" w:type="dxa"/>
              <w:end w:w="180" w:type="dxa"/>
            </w:tcMar>
          </w:tcPr>
          <w:p>
            <w:pPr>
              <w:spacing w:after="80"/>
            </w:pPr>
            <w:r>
              <w:rPr>
                <w:rFonts w:ascii="Liberation Sans" w:hAnsi="Liberation Sans" w:eastAsia="Liberation Sans"/>
                <w:b/>
                <w:i w:val="0"/>
                <w:color w:val="17365D"/>
                <w:sz w:val="21"/>
              </w:rPr>
              <w:t>Constitutional boundary</w:t>
            </w:r>
          </w:p>
          <w:p>
            <w:pPr>
              <w:spacing w:after="0" w:line="259" w:lineRule="auto"/>
            </w:pPr>
            <w:r>
              <w:rPr>
                <w:rFonts w:ascii="Liberation Sans" w:hAnsi="Liberation Sans" w:eastAsia="Liberation Sans"/>
                <w:b w:val="0"/>
                <w:i w:val="0"/>
                <w:color w:val="1F2937"/>
                <w:sz w:val="19"/>
              </w:rPr>
              <w:t>KEP exists above individual products. It governs how engineering intent is translated into evidence-backed delivery, while products retain ownership of their domain, data, release lifecycle, security boundary, and operational outcomes.</w:t>
            </w:r>
          </w:p>
        </w:tc>
      </w:tr>
    </w:tbl>
    <w:p>
      <w:pPr>
        <w:spacing w:after="40"/>
        <w:widowControl w:val="true"/>
      </w:pPr>
    </w:p>
    <w:p>
      <w:pPr>
        <w:pStyle w:val="Heading1"/>
        <w:keepNext/>
        <w:widowControl w:val="true"/>
      </w:pPr>
      <w:r>
        <w:rPr>
          <w:rFonts w:ascii="Liberation Sans" w:hAnsi="Liberation Sans" w:eastAsia="Liberation Sans"/>
        </w:rPr>
        <w:t>Contents</w:t>
      </w:r>
    </w:p>
    <w:p>
      <w:pPr>
        <w:pStyle w:val="KEPNumber"/>
        <w:spacing w:after="40" w:line="269" w:lineRule="auto"/>
        <w:widowControl w:val="true"/>
      </w:pPr>
      <w:r>
        <w:t>1. Purpose and Authority</w:t>
      </w:r>
    </w:p>
    <w:p>
      <w:pPr>
        <w:pStyle w:val="KEPNumber"/>
        <w:spacing w:after="40" w:line="269" w:lineRule="auto"/>
        <w:widowControl w:val="true"/>
      </w:pPr>
      <w:r>
        <w:t>2. The Problems KEP Solves</w:t>
      </w:r>
    </w:p>
    <w:p>
      <w:pPr>
        <w:pStyle w:val="KEPNumber"/>
        <w:spacing w:after="40" w:line="269" w:lineRule="auto"/>
        <w:widowControl w:val="true"/>
      </w:pPr>
      <w:r>
        <w:t>3. What KEP Is and Is Not</w:t>
      </w:r>
    </w:p>
    <w:p>
      <w:pPr>
        <w:pStyle w:val="KEPNumber"/>
        <w:spacing w:after="40" w:line="269" w:lineRule="auto"/>
        <w:widowControl w:val="true"/>
      </w:pPr>
      <w:r>
        <w:t>4. Intended Users and Platform Consumers</w:t>
      </w:r>
    </w:p>
    <w:p>
      <w:pPr>
        <w:pStyle w:val="KEPNumber"/>
        <w:spacing w:after="40" w:line="269" w:lineRule="auto"/>
        <w:widowControl w:val="true"/>
      </w:pPr>
      <w:r>
        <w:t>5. KEP Operating Model</w:t>
      </w:r>
    </w:p>
    <w:p>
      <w:pPr>
        <w:pStyle w:val="KEPNumber"/>
        <w:spacing w:after="40" w:line="269" w:lineRule="auto"/>
        <w:widowControl w:val="true"/>
      </w:pPr>
      <w:r>
        <w:t>6. Relationship Between KEP and Product Repositories</w:t>
      </w:r>
    </w:p>
    <w:p>
      <w:pPr>
        <w:pStyle w:val="KEPNumber"/>
        <w:spacing w:after="40" w:line="269" w:lineRule="auto"/>
        <w:widowControl w:val="true"/>
      </w:pPr>
      <w:r>
        <w:t>7. Platform Capabilities and Product-Domain Capabilities</w:t>
      </w:r>
    </w:p>
    <w:p>
      <w:pPr>
        <w:pStyle w:val="KEPNumber"/>
        <w:spacing w:after="40" w:line="269" w:lineRule="auto"/>
        <w:widowControl w:val="true"/>
      </w:pPr>
      <w:r>
        <w:t>8. Core KEP Subsystems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
              <w:rPr>
                <w:b/>
              </w:rPr>
              <w:t>Class</w:t>
            </w:r>
          </w:p>
        </w:tc>
        <w:tc>
          <w:tcPr>
            <w:tcW w:type="dxa" w:w="2520"/>
          </w:tcPr>
          <w:p>
            <w:r/>
            <w:r>
              <w:rPr>
                <w:b/>
              </w:rPr>
              <w:t>Definition</w:t>
            </w:r>
          </w:p>
        </w:tc>
        <w:tc>
          <w:tcPr>
            <w:tcW w:type="dxa" w:w="2520"/>
          </w:tcPr>
          <w:p>
            <w:r/>
            <w:r>
              <w:rPr>
                <w:b/>
              </w:rPr>
              <w:t>Typical examples</w:t>
            </w:r>
          </w:p>
        </w:tc>
        <w:tc>
          <w:tcPr>
            <w:tcW w:type="dxa" w:w="2520"/>
          </w:tcPr>
          <w:p>
            <w:r/>
            <w:r>
              <w:rPr>
                <w:b/>
              </w:rPr>
              <w:t>Gate principle</w:t>
            </w:r>
          </w:p>
        </w:tc>
      </w:tr>
      <w:tr>
        <w:tc>
          <w:tcPr>
            <w:tcW w:type="dxa" w:w="2520"/>
          </w:tcPr>
          <w:p>
            <w:r/>
            <w:r>
              <w:rPr>
                <w:b w:val="0"/>
              </w:rPr>
              <w:t>R0</w:t>
            </w:r>
          </w:p>
        </w:tc>
        <w:tc>
          <w:tcPr>
            <w:tcW w:type="dxa" w:w="2520"/>
          </w:tcPr>
          <w:p>
            <w:r/>
            <w:r>
              <w:rPr>
                <w:b w:val="0"/>
              </w:rPr>
              <w:t>Editorial; no runtime impact.</w:t>
            </w:r>
          </w:p>
        </w:tc>
        <w:tc>
          <w:tcPr>
            <w:tcW w:type="dxa" w:w="2520"/>
          </w:tcPr>
          <w:p>
            <w:r/>
            <w:r>
              <w:rPr>
                <w:b w:val="0"/>
              </w:rPr>
              <w:t>Typographical correction, wording clarification, non-normative example.</w:t>
            </w:r>
          </w:p>
        </w:tc>
        <w:tc>
          <w:tcPr>
            <w:tcW w:type="dxa" w:w="2520"/>
          </w:tcPr>
          <w:p>
            <w:r/>
            <w:r>
              <w:rPr>
                <w:b w:val="0"/>
              </w:rPr>
              <w:t>Minimal review and integrity checks.</w:t>
            </w:r>
          </w:p>
        </w:tc>
      </w:tr>
      <w:tr>
        <w:tc>
          <w:tcPr>
            <w:tcW w:type="dxa" w:w="2520"/>
          </w:tcPr>
          <w:p>
            <w:r/>
            <w:r>
              <w:rPr>
                <w:b w:val="0"/>
              </w:rPr>
              <w:t>R1</w:t>
            </w:r>
          </w:p>
        </w:tc>
        <w:tc>
          <w:tcPr>
            <w:tcW w:type="dxa" w:w="2520"/>
          </w:tcPr>
          <w:p>
            <w:r/>
            <w:r>
              <w:rPr>
                <w:b w:val="0"/>
              </w:rPr>
              <w:t>Low-risk localized change.</w:t>
            </w:r>
          </w:p>
        </w:tc>
        <w:tc>
          <w:tcPr>
            <w:tcW w:type="dxa" w:w="2520"/>
          </w:tcPr>
          <w:p>
            <w:r/>
            <w:r>
              <w:rPr>
                <w:b w:val="0"/>
              </w:rPr>
              <w:t>Isolated non-critical behavior or internal maintainability change.</w:t>
            </w:r>
          </w:p>
        </w:tc>
        <w:tc>
          <w:tcPr>
            <w:tcW w:type="dxa" w:w="2520"/>
          </w:tcPr>
          <w:p>
            <w:r/>
            <w:r>
              <w:rPr>
                <w:b w:val="0"/>
              </w:rPr>
              <w:t>Localized verification and owner review.</w:t>
            </w:r>
          </w:p>
        </w:tc>
      </w:tr>
      <w:tr>
        <w:tc>
          <w:tcPr>
            <w:tcW w:type="dxa" w:w="2520"/>
          </w:tcPr>
          <w:p>
            <w:r/>
            <w:r>
              <w:rPr>
                <w:b w:val="0"/>
              </w:rPr>
              <w:t>R2</w:t>
            </w:r>
          </w:p>
        </w:tc>
        <w:tc>
          <w:tcPr>
            <w:tcW w:type="dxa" w:w="2520"/>
          </w:tcPr>
          <w:p>
            <w:r/>
            <w:r>
              <w:rPr>
                <w:b w:val="0"/>
              </w:rPr>
              <w:t>Moderate functional or integration change.</w:t>
            </w:r>
          </w:p>
        </w:tc>
        <w:tc>
          <w:tcPr>
            <w:tcW w:type="dxa" w:w="2520"/>
          </w:tcPr>
          <w:p>
            <w:r/>
            <w:r>
              <w:rPr>
                <w:b w:val="0"/>
              </w:rPr>
              <w:t>User-visible behavior, bounded integration, compatible schema or workflow change.</w:t>
            </w:r>
          </w:p>
        </w:tc>
        <w:tc>
          <w:tcPr>
            <w:tcW w:type="dxa" w:w="2520"/>
          </w:tcPr>
          <w:p>
            <w:r/>
            <w:r>
              <w:rPr>
                <w:b w:val="0"/>
              </w:rPr>
              <w:t>Requirement, test, integration, and review gates scaled to impact.</w:t>
            </w:r>
          </w:p>
        </w:tc>
      </w:tr>
      <w:tr>
        <w:tc>
          <w:tcPr>
            <w:tcW w:type="dxa" w:w="2520"/>
          </w:tcPr>
          <w:p>
            <w:r/>
            <w:r>
              <w:rPr>
                <w:b w:val="0"/>
              </w:rPr>
              <w:t>R3</w:t>
            </w:r>
          </w:p>
        </w:tc>
        <w:tc>
          <w:tcPr>
            <w:tcW w:type="dxa" w:w="2520"/>
          </w:tcPr>
          <w:p>
            <w:r/>
            <w:r>
              <w:rPr>
                <w:b w:val="0"/>
              </w:rPr>
              <w:t>High-risk security, data, architecture, migration, or production change.</w:t>
            </w:r>
          </w:p>
        </w:tc>
        <w:tc>
          <w:tcPr>
            <w:tcW w:type="dxa" w:w="2520"/>
          </w:tcPr>
          <w:p>
            <w:r/>
            <w:r>
              <w:rPr>
                <w:b w:val="0"/>
              </w:rPr>
              <w:t>Trust-boundary change, material data migration, major architecture boundary, production-critical operational change.</w:t>
            </w:r>
          </w:p>
        </w:tc>
        <w:tc>
          <w:tcPr>
            <w:tcW w:type="dxa" w:w="2520"/>
          </w:tcPr>
          <w:p>
            <w:r/>
            <w:r>
              <w:rPr>
                <w:b w:val="0"/>
              </w:rPr>
              <w:t>Expanded architecture, security, recovery, migration, and release evidence; independent review where practical.</w:t>
            </w:r>
          </w:p>
        </w:tc>
      </w:tr>
      <w:tr>
        <w:tc>
          <w:tcPr>
            <w:tcW w:type="dxa" w:w="2520"/>
          </w:tcPr>
          <w:p>
            <w:r/>
            <w:r>
              <w:rPr>
                <w:b w:val="0"/>
              </w:rPr>
              <w:t>R4</w:t>
            </w:r>
          </w:p>
        </w:tc>
        <w:tc>
          <w:tcPr>
            <w:tcW w:type="dxa" w:w="2520"/>
          </w:tcPr>
          <w:p>
            <w:r/>
            <w:r>
              <w:rPr>
                <w:b w:val="0"/>
              </w:rPr>
              <w:t>Critical legal, financial, safety, identity, regulated-data, or irreversible change.</w:t>
            </w:r>
          </w:p>
        </w:tc>
        <w:tc>
          <w:tcPr>
            <w:tcW w:type="dxa" w:w="2520"/>
          </w:tcPr>
          <w:p>
            <w:r/>
            <w:r>
              <w:rPr>
                <w:b w:val="0"/>
              </w:rPr>
              <w:t>Material regulated obligation, identity control, irreversible data action, critical financial or safety consequence.</w:t>
            </w:r>
          </w:p>
        </w:tc>
        <w:tc>
          <w:tcPr>
            <w:tcW w:type="dxa" w:w="2520"/>
          </w:tcPr>
          <w:p>
            <w:r/>
            <w:r>
              <w:rPr>
                <w:b w:val="0"/>
              </w:rPr>
              <w:t>Maximum applicable controls, explicit accountable approval, independent evidence, and documented rollback or impossibility of rollback.</w:t>
            </w:r>
          </w:p>
        </w:tc>
      </w:tr>
    </w:tbl>
    <w:p>
      <w:pPr>
        <w:pStyle w:val="Heading2"/>
      </w:pPr>
      <w:r>
        <w:t>8.11 Risk Classification Model</w:t>
      </w:r>
    </w:p>
    <w:p>
      <w:pPr/>
      <w:r>
        <w:t>KEP SHALL classify changes from R0 through R4. Quality gates, review depth, evidence, and approval authority SHALL scale with the assigned risk class. Risk may be raised during verification or review when evidence shows the original classification was insufficient.</w:t>
      </w:r>
    </w:p>
    <w:p>
      <w:pPr>
        <w:pStyle w:val="KEPNumber"/>
        <w:spacing w:after="40" w:line="269" w:lineRule="auto"/>
        <w:widowControl w:val="true"/>
      </w:pPr>
      <w:r>
        <w:t>9. KEP Engineering Lifecycle</w:t>
      </w:r>
    </w:p>
    <w:p>
      <w:pPr>
        <w:pStyle w:val="KEPNumber"/>
        <w:spacing w:after="40" w:line="269" w:lineRule="auto"/>
        <w:widowControl w:val="true"/>
      </w:pPr>
      <w:r>
        <w:t>10. Product-to-Platform Feedback Loop</w:t>
      </w:r>
    </w:p>
    <w:p>
      <w:pPr>
        <w:pStyle w:val="KEPNumber"/>
        <w:spacing w:after="40" w:line="269" w:lineRule="auto"/>
        <w:widowControl w:val="true"/>
      </w:pPr>
      <w:r>
        <w:t>11. Platform Ownership and Decision Rights</w:t>
      </w:r>
    </w:p>
    <w:p>
      <w:pPr/>
      <w:r>
        <w:t>During founding-stage operation, one person MAY hold multiple platform roles. This concentration of authority is accepted for KEP v0.1. Separation of governance, architecture, quality, and release authority is desirable as KEP grows, but is not a ratification prerequisite. Role separation SHALL be introduced when scale, risk, contributor count, independence requirements, or conflict-of-interest concerns justify it.</w:t>
      </w:r>
    </w:p>
    <w:p>
      <w:pPr>
        <w:pStyle w:val="KEPNumber"/>
        <w:spacing w:after="40" w:line="269" w:lineRule="auto"/>
        <w:widowControl w:val="true"/>
      </w:pPr>
      <w:r>
        <w:t>12. Explicit Non-Goals and Exclusions</w:t>
      </w:r>
    </w:p>
    <w:p>
      <w:pPr>
        <w:pStyle w:val="KEPNumber"/>
        <w:spacing w:after="40" w:line="269" w:lineRule="auto"/>
        <w:widowControl w:val="true"/>
      </w:pPr>
      <w:r>
        <w:t>13. KEP v0.1 Capability Boundary</w:t>
      </w:r>
    </w:p>
    <w:p>
      <w:pPr>
        <w:pStyle w:val="KEPNumber"/>
        <w:spacing w:after="40" w:line="269" w:lineRule="auto"/>
        <w:widowControl w:val="true"/>
      </w:pPr>
      <w:r>
        <w:t>14. Long-Term Direction Beyond v0.1</w:t>
      </w:r>
    </w:p>
    <w:p>
      <w:pPr>
        <w:pStyle w:val="KEPNumber"/>
        <w:spacing w:after="40" w:line="269" w:lineRule="auto"/>
        <w:widowControl w:val="true"/>
      </w:pPr>
      <w:r>
        <w:t>15. Success Measures</w:t>
      </w:r>
    </w:p>
    <w:p>
      <w:pPr>
        <w:pStyle w:val="KEPNumber"/>
        <w:spacing w:after="40" w:line="269" w:lineRule="auto"/>
        <w:widowControl w:val="true"/>
      </w:pPr>
      <w:r>
        <w:t>16. Over-Engineering Risks and Controls</w:t>
      </w:r>
    </w:p>
    <w:p>
      <w:pPr>
        <w:pStyle w:val="KEPNumber"/>
        <w:spacing w:after="40" w:line="269" w:lineRule="auto"/>
        <w:widowControl w:val="true"/>
      </w:pPr>
      <w:r>
        <w:t>17. Capability Placement Test</w:t>
      </w:r>
    </w:p>
    <w:p>
      <w:pPr>
        <w:pStyle w:val="KEPNumber"/>
        <w:spacing w:after="40" w:line="269" w:lineRule="auto"/>
        <w:widowControl w:val="true"/>
      </w:pPr>
      <w:r>
        <w:t>18. Adoption and Migration Principles</w:t>
      </w:r>
    </w:p>
    <w:p>
      <w:pPr>
        <w:pStyle w:val="KEPNumber"/>
        <w:spacing w:after="40" w:line="269" w:lineRule="auto"/>
        <w:widowControl w:val="true"/>
      </w:pPr>
      <w:r>
        <w:t>19. Founding Decisions and Deferred Decisions</w:t>
      </w:r>
    </w:p>
    <w:p>
      <w:pPr>
        <w:pStyle w:val="KEPNumber"/>
        <w:spacing w:after="40" w:line="269" w:lineRule="auto"/>
        <w:widowControl w:val="true"/>
      </w:pPr>
      <w:r>
        <w:t>20. Conformance, Exceptions, and Evolution</w:t>
      </w:r>
    </w:p>
    <w:p>
      <w:pPr>
        <w:pStyle w:val="KEPNumber"/>
        <w:spacing w:after="40" w:line="269" w:lineRule="auto"/>
        <w:widowControl w:val="true"/>
      </w:pPr>
      <w:r>
        <w:t>21. Ratification and Revision History</w:t>
      </w:r>
    </w:p>
    <w:p>
      <w:pPr>
        <w:widowControl w:val="true"/>
      </w:pPr>
      <w:r>
        <w:rPr>
          <w:rFonts w:ascii="Liberation Sans" w:hAnsi="Liberation Sans" w:eastAsia="Liberation Sans"/>
        </w:rPr>
        <w:br w:type="page"/>
      </w:r>
    </w:p>
    <w:p>
      <w:pPr>
        <w:pStyle w:val="Heading1"/>
        <w:keepNext/>
        <w:widowControl w:val="true"/>
      </w:pPr>
      <w:r>
        <w:rPr>
          <w:rFonts w:ascii="Liberation Sans" w:hAnsi="Liberation Sans" w:eastAsia="Liberation Sans"/>
        </w:rPr>
        <w:t>1. Purpose and Authority</w:t>
      </w:r>
    </w:p>
    <w:p>
      <w:pPr>
        <w:spacing w:after="100" w:line="269" w:lineRule="auto"/>
        <w:widowControl w:val="true"/>
      </w:pPr>
      <w:r>
        <w:rPr>
          <w:rFonts w:ascii="Liberation Sans" w:hAnsi="Liberation Sans" w:eastAsia="Liberation Sans"/>
          <w:i w:val="0"/>
        </w:rPr>
        <w:t>KEP-001 defines the operational boundary of the Kuriosity Engineering Platform. It converts the principles established by KEP-000 into an actionable platform scope without defining implementation code, product-domain behavior, or vendor-specific execution procedures.</w:t>
      </w:r>
    </w:p>
    <w:p>
      <w:pPr>
        <w:spacing w:after="100" w:line="269" w:lineRule="auto"/>
        <w:widowControl w:val="true"/>
      </w:pPr>
      <w:r>
        <w:rPr>
          <w:rFonts w:ascii="Liberation Sans" w:hAnsi="Liberation Sans" w:eastAsia="Liberation Sans"/>
          <w:i w:val="0"/>
        </w:rPr>
        <w:t>The purpose of KEP-001 is to ensure that KEP grows as a coherent engineering platform rather than as an unbounded collection of documents, prompts, scripts, tools, shared libraries, or centralized services.</w:t>
      </w:r>
    </w:p>
    <w:p>
      <w:pPr>
        <w:pStyle w:val="Heading2"/>
        <w:keepNext/>
        <w:widowControl w:val="true"/>
      </w:pPr>
      <w:r>
        <w:rPr>
          <w:rFonts w:ascii="Liberation Sans" w:hAnsi="Liberation Sans" w:eastAsia="Liberation Sans"/>
        </w:rPr>
        <w:t>1.1 Governing Outcomes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Establish a precise statement of the engineering problems KEP is responsible for solving.</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the line between platform responsibility and product responsibility.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the minimum operating model through which KEP assets are created, governed, consumed, verified, and improved.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Prevent product-specific concepts from being promoted into the platform without evidence and governance.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Prevent platform standards from creating unnecessary coupling, delivery friction, or technology lock-in.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Create a common lifecycle that supports humans and heterogeneous AI-assisted engineering tools under the same accountability model.</w:t>
      </w:r>
    </w:p>
    <w:p>
      <w:pPr>
        <w:pStyle w:val="Heading2"/>
        <w:keepNext/>
        <w:widowControl w:val="true"/>
      </w:pPr>
      <w:r>
        <w:rPr>
          <w:rFonts w:ascii="Liberation Sans" w:hAnsi="Liberation Sans" w:eastAsia="Liberation Sans"/>
        </w:rPr>
        <w:t>1.2 Applicability</w:t>
      </w:r>
    </w:p>
    <w:p>
      <w:pPr>
        <w:spacing w:after="100" w:line="269" w:lineRule="auto"/>
        <w:widowControl w:val="true"/>
      </w:pPr>
      <w:r>
        <w:rPr>
          <w:rFonts w:ascii="Liberation Sans" w:hAnsi="Liberation Sans" w:eastAsia="Liberation Sans"/>
          <w:i w:val="0"/>
        </w:rPr>
        <w:t>Upon ratification, this document SHALL apply to:</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canonical KEP repository.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engineering contracts, architecture guidance, knowledge structures, skills, playbooks, templates, verification rules, quality gates, operational interfaces, and agent operating artifacts.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Products and projects that declare adoption of KEP, to the extent defined by their adoption record and approved exceptions.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Human contributors and AI-assisted agents acting within KEP-governed work.</w:t>
      </w:r>
    </w:p>
    <w:p>
      <w:pPr>
        <w:spacing w:after="100" w:line="269" w:lineRule="auto"/>
        <w:widowControl w:val="true"/>
      </w:pPr>
      <w:r>
        <w:rPr>
          <w:rFonts w:ascii="Liberation Sans" w:hAnsi="Liberation Sans" w:eastAsia="Liberation Sans"/>
          <w:i w:val="0"/>
        </w:rPr>
        <w:t>KEP-001 SHALL NOT apply product-domain rules to a product merely because that product consumes KEP capabilities.</w:t>
      </w:r>
    </w:p>
    <w:p>
      <w:pPr>
        <w:pStyle w:val="Heading1"/>
        <w:keepNext/>
        <w:widowControl w:val="true"/>
      </w:pPr>
      <w:r>
        <w:rPr>
          <w:rFonts w:ascii="Liberation Sans" w:hAnsi="Liberation Sans" w:eastAsia="Liberation Sans"/>
        </w:rPr>
        <w:t>2. The Problems KEP Solves</w:t>
      </w:r>
    </w:p>
    <w:p>
      <w:pPr>
        <w:spacing w:after="100" w:line="269" w:lineRule="auto"/>
        <w:widowControl w:val="true"/>
      </w:pPr>
      <w:r>
        <w:rPr>
          <w:rFonts w:ascii="Liberation Sans" w:hAnsi="Liberation Sans" w:eastAsia="Liberation Sans"/>
          <w:i w:val="0"/>
        </w:rPr>
        <w:t>KEP solves systemic engineering problems that recur across products and cannot be reliably addressed by isolated project habits. Its mandate is not to solve every software problem; its mandate is to make disciplined engineering repeatable, inspectable, and transferable.</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3360"/>
        <w:gridCol w:w="3360"/>
        <w:gridCol w:w="3360"/>
      </w:tblGrid>
      <w:tr>
        <w:trPr>
          <w:tblHeader w:val="true"/>
        </w:trPr>
        <w:tc>
          <w:tcPr>
            <w:tcW w:type="dxa" w:w="2015"/>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Problem</w:t>
            </w:r>
          </w:p>
        </w:tc>
        <w:tc>
          <w:tcPr>
            <w:tcW w:type="dxa" w:w="3888"/>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Failure mode</w:t>
            </w:r>
          </w:p>
        </w:tc>
        <w:tc>
          <w:tcPr>
            <w:tcW w:type="dxa" w:w="3816"/>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KEP response</w:t>
            </w:r>
          </w:p>
        </w:tc>
      </w:tr>
      <w:tr>
        <w:trPr>
          <w:cantSplit/>
        </w:trPr>
        <w:tc>
          <w:tcPr>
            <w:tcW w:type="dxa" w:w="2015"/>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Intent loss</w:t>
            </w:r>
          </w:p>
        </w:tc>
        <w:tc>
          <w:tcPr>
            <w:tcW w:type="dxa" w:w="388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Business intent is diluted or altered as work moves from idea to requirement, architecture, implementation, and release.</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 traceable lifecycle with explicit authoritative artifacts and acceptance evidence.</w:t>
            </w:r>
          </w:p>
        </w:tc>
      </w:tr>
      <w:tr>
        <w:trPr>
          <w:cantSplit/>
        </w:trPr>
        <w:tc>
          <w:tcPr>
            <w:tcW w:type="dxa" w:w="2015"/>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Ambiguity encoded as behavior</w:t>
            </w:r>
          </w:p>
        </w:tc>
        <w:tc>
          <w:tcPr>
            <w:tcW w:type="dxa" w:w="388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Unknowns and assumptions are silently converted into code or operational behavior.</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Assumption registers, decision records, contract review, and escalation of unresolved questions.</w:t>
            </w:r>
          </w:p>
        </w:tc>
      </w:tr>
      <w:tr>
        <w:trPr>
          <w:cantSplit/>
        </w:trPr>
        <w:tc>
          <w:tcPr>
            <w:tcW w:type="dxa" w:w="2015"/>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Fragmented engineering knowledge</w:t>
            </w:r>
          </w:p>
        </w:tc>
        <w:tc>
          <w:tcPr>
            <w:tcW w:type="dxa" w:w="388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Critical knowledge is distributed across people, chats, local files, agent sessions, and stale documentation.</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 governed, discoverable, versioned knowledge architecture for human and machine consumption.</w:t>
            </w:r>
          </w:p>
        </w:tc>
      </w:tr>
      <w:tr>
        <w:trPr>
          <w:cantSplit/>
        </w:trPr>
        <w:tc>
          <w:tcPr>
            <w:tcW w:type="dxa" w:w="2015"/>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Inconsistent delivery quality</w:t>
            </w:r>
          </w:p>
        </w:tc>
        <w:tc>
          <w:tcPr>
            <w:tcW w:type="dxa" w:w="388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Projects define completion differently, allowing unverified or incomplete work to be presented as done.</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Risk-appropriate verification, evidence records, quality gates, and explicit definitions of done.</w:t>
            </w:r>
          </w:p>
        </w:tc>
      </w:tr>
      <w:tr>
        <w:trPr>
          <w:cantSplit/>
        </w:trPr>
        <w:tc>
          <w:tcPr>
            <w:tcW w:type="dxa" w:w="2015"/>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Uncontrolled AI-assisted work</w:t>
            </w:r>
          </w:p>
        </w:tc>
        <w:tc>
          <w:tcPr>
            <w:tcW w:type="dxa" w:w="388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AI tools act with incomplete context, unclear authority, or unverifiable claims.</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Agent contracts, context manifests, task boundaries, evidence requirements, and human decision ownership.</w:t>
            </w:r>
          </w:p>
        </w:tc>
      </w:tr>
      <w:tr>
        <w:trPr>
          <w:cantSplit/>
        </w:trPr>
        <w:tc>
          <w:tcPr>
            <w:tcW w:type="dxa" w:w="2015"/>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Repeated reinvention</w:t>
            </w:r>
          </w:p>
        </w:tc>
        <w:tc>
          <w:tcPr>
            <w:tcW w:type="dxa" w:w="388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Teams repeatedly recreate common engineering methods, artifacts, and controls.</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Governed skills, playbooks, templates, and reusable platform capabilities whose reuse has been earned.</w:t>
            </w:r>
          </w:p>
        </w:tc>
      </w:tr>
      <w:tr>
        <w:trPr>
          <w:cantSplit/>
        </w:trPr>
        <w:tc>
          <w:tcPr>
            <w:tcW w:type="dxa" w:w="2015"/>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Architecture drift</w:t>
            </w:r>
          </w:p>
        </w:tc>
        <w:tc>
          <w:tcPr>
            <w:tcW w:type="dxa" w:w="388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Implementation evolves away from approved requirements and architecture without explicit decisions.</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Architecture records, conformance checks, change impact analysis, and review gates.</w:t>
            </w:r>
          </w:p>
        </w:tc>
      </w:tr>
      <w:tr>
        <w:trPr>
          <w:cantSplit/>
        </w:trPr>
        <w:tc>
          <w:tcPr>
            <w:tcW w:type="dxa" w:w="2015"/>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Hidden coupling</w:t>
            </w:r>
          </w:p>
        </w:tc>
        <w:tc>
          <w:tcPr>
            <w:tcW w:type="dxa" w:w="388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Shared code, services, tools, or conventions create dependencies that are neither documented nor controlled.</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Explicit contracts, versioning, ownership, compatibility policy, and product isolation.</w:t>
            </w:r>
          </w:p>
        </w:tc>
      </w:tr>
      <w:tr>
        <w:trPr>
          <w:cantSplit/>
        </w:trPr>
        <w:tc>
          <w:tcPr>
            <w:tcW w:type="dxa" w:w="2015"/>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Tool and vendor lock-in</w:t>
            </w:r>
          </w:p>
        </w:tc>
        <w:tc>
          <w:tcPr>
            <w:tcW w:type="dxa" w:w="388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Engineering process becomes dependent on one coding agent, operating system, hosting platform, repository provider, or cloud.</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Technology-neutral contracts and replaceable adapters at volatile boundaries.</w:t>
            </w:r>
          </w:p>
        </w:tc>
      </w:tr>
      <w:tr>
        <w:trPr>
          <w:cantSplit/>
        </w:trPr>
        <w:tc>
          <w:tcPr>
            <w:tcW w:type="dxa" w:w="2015"/>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Failure to learn</w:t>
            </w:r>
          </w:p>
        </w:tc>
        <w:tc>
          <w:tcPr>
            <w:tcW w:type="dxa" w:w="388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Project lessons remain local and recurring failures are repeated elsewhere.</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A product-to-platform feedback loop that validates, generalizes, packages, and measures reusable learning.</w:t>
            </w:r>
          </w:p>
        </w:tc>
      </w:tr>
    </w:tbl>
    <w:p>
      <w:pPr>
        <w:spacing w:after="40"/>
        <w:widowControl w:val="true"/>
      </w:pPr>
    </w:p>
    <w:p>
      <w:pPr>
        <w:pStyle w:val="Heading2"/>
        <w:keepNext/>
        <w:widowControl w:val="true"/>
      </w:pPr>
      <w:r>
        <w:rPr>
          <w:rFonts w:ascii="Liberation Sans" w:hAnsi="Liberation Sans" w:eastAsia="Liberation Sans"/>
        </w:rPr>
        <w:t>2.1 Problem Boundary</w:t>
      </w:r>
    </w:p>
    <w:p>
      <w:pPr>
        <w:spacing w:after="100" w:line="269" w:lineRule="auto"/>
        <w:widowControl w:val="true"/>
      </w:pPr>
      <w:r>
        <w:rPr>
          <w:rFonts w:ascii="Liberation Sans" w:hAnsi="Liberation Sans" w:eastAsia="Liberation Sans"/>
          <w:i w:val="0"/>
        </w:rPr>
        <w:t>KEP is responsible for the cross-product engineering system that addresses these problems. The product remains responsible for applying the system to its own domain, making product decisions, and producing product outcomes.</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FF2CC"/>
            <w:tcMar>
              <w:top w:w="150" w:type="dxa"/>
              <w:start w:w="180" w:type="dxa"/>
              <w:bottom w:w="150" w:type="dxa"/>
              <w:end w:w="180" w:type="dxa"/>
            </w:tcMar>
          </w:tcPr>
          <w:p>
            <w:pPr>
              <w:spacing w:after="80"/>
            </w:pPr>
            <w:r>
              <w:rPr>
                <w:rFonts w:ascii="Liberation Sans" w:hAnsi="Liberation Sans" w:eastAsia="Liberation Sans"/>
                <w:b/>
                <w:i w:val="0"/>
                <w:color w:val="17365D"/>
                <w:sz w:val="21"/>
              </w:rPr>
              <w:t>Boundary test</w:t>
            </w:r>
          </w:p>
          <w:p>
            <w:pPr>
              <w:spacing w:after="0" w:line="259" w:lineRule="auto"/>
            </w:pPr>
            <w:r>
              <w:rPr>
                <w:rFonts w:ascii="Liberation Sans" w:hAnsi="Liberation Sans" w:eastAsia="Liberation Sans"/>
                <w:b w:val="0"/>
                <w:i w:val="0"/>
                <w:color w:val="1F2937"/>
                <w:sz w:val="19"/>
              </w:rPr>
              <w:t>KEP solves repeatability, governance, traceability, reuse, verification, and learning problems across products. It does not solve a product's domain problem on the product's behalf.</w:t>
            </w:r>
          </w:p>
        </w:tc>
      </w:tr>
    </w:tbl>
    <w:p>
      <w:pPr>
        <w:spacing w:after="40"/>
        <w:widowControl w:val="true"/>
      </w:pPr>
    </w:p>
    <w:p>
      <w:pPr>
        <w:pStyle w:val="Heading1"/>
        <w:keepNext/>
        <w:widowControl w:val="true"/>
      </w:pPr>
      <w:r>
        <w:rPr>
          <w:rFonts w:ascii="Liberation Sans" w:hAnsi="Liberation Sans" w:eastAsia="Liberation Sans"/>
        </w:rPr>
        <w:t>3. What KEP Is and Is Not</w:t>
      </w:r>
    </w:p>
    <w:p>
      <w:pPr>
        <w:pStyle w:val="Heading2"/>
        <w:keepNext/>
        <w:widowControl w:val="true"/>
      </w:pPr>
      <w:r>
        <w:rPr>
          <w:rFonts w:ascii="Liberation Sans" w:hAnsi="Liberation Sans" w:eastAsia="Liberation Sans"/>
        </w:rPr>
        <w:t>3.1 What KEP Is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governed engineering operating model for translating intent into reliable delivery.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platform-level knowledge architecture that identifies authoritative sources, records decisions, and preserves operational knowledge.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set of versioned engineering contracts that define expected behavior at requirements, interface, data, security, operational, repository, and agent boundaries.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library of reusable skills, playbooks, and templates that encode validated engineering practice.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An implementation-neutral architecture system that provides principles, reference boundaries, decision methods, and conformance expectations.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verification and quality-control framework that requires evidence before completion or release claims are accepted.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An agent operating layer that constrains and validates AI-assisted engineering regardless of the selected agent or tool.</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learning system through which product experience improves platform capability.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federated platform: central in governance and shared capability ownership, decentralized in product-domain ownership and product delivery.</w:t>
      </w:r>
    </w:p>
    <w:p>
      <w:pPr>
        <w:pStyle w:val="Heading2"/>
        <w:keepNext/>
        <w:widowControl w:val="true"/>
      </w:pPr>
      <w:r>
        <w:rPr>
          <w:rFonts w:ascii="Liberation Sans" w:hAnsi="Liberation Sans" w:eastAsia="Liberation Sans"/>
        </w:rPr>
        <w:t>3.2 What KEP Is Not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an individual product, business application, or product-domain model.</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 single source-code monolith into which product code must be moved.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 specific coding agent, model, prompt collection, integrated development environment, repository host, operating system, cloud, CI/CD provider, or programming language.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 mandatory shared runtime for every product. Runtime services may exist only when their platform value and operational model are approved.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 replacement for human accountability, product ownership, architecture judgment, security expertise, or domain expertise.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 guarantee that a product is correct, secure, compliant, available, or commercially successful.</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 universal architecture imposed regardless of context.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 documentation volume target. More artifacts do not imply better governance.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 central backlog for every reusable-looking idea. Reuse must be proven and governed.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is not an excuse to delay product delivery while speculative platform abstractions are built.</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3360"/>
        <w:gridCol w:w="3360"/>
        <w:gridCol w:w="3360"/>
      </w:tblGrid>
      <w:tr>
        <w:trPr>
          <w:tblHeader w:val="true"/>
        </w:trPr>
        <w:tc>
          <w:tcPr>
            <w:tcW w:type="dxa" w:w="1872"/>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Dimension</w:t>
            </w:r>
          </w:p>
        </w:tc>
        <w:tc>
          <w:tcPr>
            <w:tcW w:type="dxa" w:w="396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KEP owns</w:t>
            </w:r>
          </w:p>
        </w:tc>
        <w:tc>
          <w:tcPr>
            <w:tcW w:type="dxa" w:w="396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KEP does not own</w:t>
            </w:r>
          </w:p>
        </w:tc>
      </w:tr>
      <w:tr>
        <w:trPr>
          <w:cantSplit/>
        </w:trPr>
        <w:tc>
          <w:tcPr>
            <w:tcW w:type="dxa" w:w="187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Governance</w:t>
            </w:r>
          </w:p>
        </w:tc>
        <w:tc>
          <w:tcPr>
            <w:tcW w:type="dxa" w:w="396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Platform principles, standards, exceptions, and precedence.</w:t>
            </w:r>
          </w:p>
        </w:tc>
        <w:tc>
          <w:tcPr>
            <w:tcW w:type="dxa" w:w="396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Product business policy unless elevated by a higher authority.</w:t>
            </w:r>
          </w:p>
        </w:tc>
      </w:tr>
      <w:tr>
        <w:trPr>
          <w:cantSplit/>
        </w:trPr>
        <w:tc>
          <w:tcPr>
            <w:tcW w:type="dxa" w:w="187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Knowledge</w:t>
            </w:r>
          </w:p>
        </w:tc>
        <w:tc>
          <w:tcPr>
            <w:tcW w:type="dxa" w:w="396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Cross-product structures, discoverability rules, and authoritative-source patterns.</w:t>
            </w:r>
          </w:p>
        </w:tc>
        <w:tc>
          <w:tcPr>
            <w:tcW w:type="dxa" w:w="396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The product's domain truth and operational data.</w:t>
            </w:r>
          </w:p>
        </w:tc>
      </w:tr>
      <w:tr>
        <w:trPr>
          <w:cantSplit/>
        </w:trPr>
        <w:tc>
          <w:tcPr>
            <w:tcW w:type="dxa" w:w="187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Architecture</w:t>
            </w:r>
          </w:p>
        </w:tc>
        <w:tc>
          <w:tcPr>
            <w:tcW w:type="dxa" w:w="396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Reference principles, decision framework, shared boundaries, and conformance policy.</w:t>
            </w:r>
          </w:p>
        </w:tc>
        <w:tc>
          <w:tcPr>
            <w:tcW w:type="dxa" w:w="396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Final product architecture choices within approved constraints.</w:t>
            </w:r>
          </w:p>
        </w:tc>
      </w:tr>
      <w:tr>
        <w:trPr>
          <w:cantSplit/>
        </w:trPr>
        <w:tc>
          <w:tcPr>
            <w:tcW w:type="dxa" w:w="187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Execution</w:t>
            </w:r>
          </w:p>
        </w:tc>
        <w:tc>
          <w:tcPr>
            <w:tcW w:type="dxa" w:w="396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Reusable methods, task contracts, and verification expectations.</w:t>
            </w:r>
          </w:p>
        </w:tc>
        <w:tc>
          <w:tcPr>
            <w:tcW w:type="dxa" w:w="396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Product backlog prioritization or unapproved autonomous execution.</w:t>
            </w:r>
          </w:p>
        </w:tc>
      </w:tr>
      <w:tr>
        <w:trPr>
          <w:cantSplit/>
        </w:trPr>
        <w:tc>
          <w:tcPr>
            <w:tcW w:type="dxa" w:w="187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Quality</w:t>
            </w:r>
          </w:p>
        </w:tc>
        <w:tc>
          <w:tcPr>
            <w:tcW w:type="dxa" w:w="396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Gate definitions, evidence standards, and severity classification.</w:t>
            </w:r>
          </w:p>
        </w:tc>
        <w:tc>
          <w:tcPr>
            <w:tcW w:type="dxa" w:w="396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Acceptance of product risk without the accountable product authority.</w:t>
            </w:r>
          </w:p>
        </w:tc>
      </w:tr>
      <w:tr>
        <w:trPr>
          <w:cantSplit/>
        </w:trPr>
        <w:tc>
          <w:tcPr>
            <w:tcW w:type="dxa" w:w="187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Operations</w:t>
            </w:r>
          </w:p>
        </w:tc>
        <w:tc>
          <w:tcPr>
            <w:tcW w:type="dxa" w:w="396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Platform asset delivery and any approved platform services.</w:t>
            </w:r>
          </w:p>
        </w:tc>
        <w:tc>
          <w:tcPr>
            <w:tcW w:type="dxa" w:w="396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Product operations, support, and service-level outcomes unless explicitly contracted.</w:t>
            </w:r>
          </w:p>
        </w:tc>
      </w:tr>
    </w:tbl>
    <w:p>
      <w:pPr>
        <w:spacing w:after="40"/>
        <w:widowControl w:val="true"/>
      </w:pPr>
    </w:p>
    <w:p>
      <w:pPr>
        <w:pStyle w:val="Heading1"/>
        <w:keepNext/>
        <w:widowControl w:val="true"/>
      </w:pPr>
      <w:r>
        <w:rPr>
          <w:rFonts w:ascii="Liberation Sans" w:hAnsi="Liberation Sans" w:eastAsia="Liberation Sans"/>
        </w:rPr>
        <w:t>4. Intended Users and Platform Consumers</w:t>
      </w:r>
    </w:p>
    <w:p>
      <w:pPr>
        <w:spacing w:after="100" w:line="269" w:lineRule="auto"/>
        <w:widowControl w:val="true"/>
      </w:pPr>
      <w:r>
        <w:rPr>
          <w:rFonts w:ascii="Liberation Sans" w:hAnsi="Liberation Sans" w:eastAsia="Liberation Sans"/>
          <w:i w:val="0"/>
        </w:rPr>
        <w:t>KEP serves people, teams, repositories, automation, and AI-assisted agents that participate in engineering delivery. The same platform asset may have different responsibilities for different consumers.</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5040"/>
        <w:gridCol w:w="5040"/>
      </w:tblGrid>
      <w:tr>
        <w:trPr>
          <w:tblHeader w:val="true"/>
        </w:trPr>
        <w:tc>
          <w:tcPr>
            <w:tcW w:type="dxa" w:w="3168"/>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Consumer</w:t>
            </w:r>
          </w:p>
        </w:tc>
        <w:tc>
          <w:tcPr>
            <w:tcW w:type="dxa" w:w="6623"/>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Primary use of KEP</w:t>
            </w:r>
          </w:p>
        </w:tc>
      </w:tr>
      <w:tr>
        <w:trPr>
          <w:cantSplit/>
        </w:trPr>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Founding and executive authorities</w:t>
            </w:r>
          </w:p>
        </w:tc>
        <w:tc>
          <w:tcPr>
            <w:tcW w:type="dxa" w:w="662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Set mission, risk posture, funding boundaries, and constitutional direction; ratify foundational governance.</w:t>
            </w:r>
          </w:p>
        </w:tc>
      </w:tr>
      <w:tr>
        <w:trPr>
          <w:cantSplit/>
        </w:trPr>
        <w:tc>
          <w:tcPr>
            <w:tcW w:type="dxa" w:w="3168"/>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Platform owner and governance stewards</w:t>
            </w:r>
          </w:p>
        </w:tc>
        <w:tc>
          <w:tcPr>
            <w:tcW w:type="dxa" w:w="662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Maintain KEP coherence, scope, standards, lifecycle, releases, exceptions, and platform roadmap.</w:t>
            </w:r>
          </w:p>
        </w:tc>
      </w:tr>
      <w:tr>
        <w:trPr>
          <w:cantSplit/>
        </w:trPr>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Product owners and business analysts</w:t>
            </w:r>
          </w:p>
        </w:tc>
        <w:tc>
          <w:tcPr>
            <w:tcW w:type="dxa" w:w="662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Express product intent, approve product requirements, accept product outcomes, and identify product constraints.</w:t>
            </w:r>
          </w:p>
        </w:tc>
      </w:tr>
      <w:tr>
        <w:trPr>
          <w:cantSplit/>
        </w:trPr>
        <w:tc>
          <w:tcPr>
            <w:tcW w:type="dxa" w:w="3168"/>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Architects and technical leads</w:t>
            </w:r>
          </w:p>
        </w:tc>
        <w:tc>
          <w:tcPr>
            <w:tcW w:type="dxa" w:w="662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Evaluate tradeoffs, record material decisions, define product boundaries, and review conformance.</w:t>
            </w:r>
          </w:p>
        </w:tc>
      </w:tr>
      <w:tr>
        <w:trPr>
          <w:cantSplit/>
        </w:trPr>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Software, data, infrastructure, security, and quality engineers</w:t>
            </w:r>
          </w:p>
        </w:tc>
        <w:tc>
          <w:tcPr>
            <w:tcW w:type="dxa" w:w="662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Use contracts, skills, playbooks, templates, and gates to produce and verify deliverables.</w:t>
            </w:r>
          </w:p>
        </w:tc>
      </w:tr>
      <w:tr>
        <w:trPr>
          <w:cantSplit/>
        </w:trPr>
        <w:tc>
          <w:tcPr>
            <w:tcW w:type="dxa" w:w="3168"/>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Repository maintainers and release authorities</w:t>
            </w:r>
          </w:p>
        </w:tc>
        <w:tc>
          <w:tcPr>
            <w:tcW w:type="dxa" w:w="662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Apply repository contracts, protect change boundaries, and enforce release evidence.</w:t>
            </w:r>
          </w:p>
        </w:tc>
      </w:tr>
      <w:tr>
        <w:trPr>
          <w:cantSplit/>
        </w:trPr>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Operations and support personnel</w:t>
            </w:r>
          </w:p>
        </w:tc>
        <w:tc>
          <w:tcPr>
            <w:tcW w:type="dxa" w:w="662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Use runbooks, operational contracts, evidence, and incident learning.</w:t>
            </w:r>
          </w:p>
        </w:tc>
      </w:tr>
      <w:tr>
        <w:trPr>
          <w:cantSplit/>
        </w:trPr>
        <w:tc>
          <w:tcPr>
            <w:tcW w:type="dxa" w:w="3168"/>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Human reviewers and auditors</w:t>
            </w:r>
          </w:p>
        </w:tc>
        <w:tc>
          <w:tcPr>
            <w:tcW w:type="dxa" w:w="662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Evaluate requirement fidelity, architecture, security, evidence, exceptions, and decision history.</w:t>
            </w:r>
          </w:p>
        </w:tc>
      </w:tr>
      <w:tr>
        <w:trPr>
          <w:cantSplit/>
        </w:trPr>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AI-assisted agents</w:t>
            </w:r>
          </w:p>
        </w:tc>
        <w:tc>
          <w:tcPr>
            <w:tcW w:type="dxa" w:w="662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Perform bounded tasks under explicit context, permissions, prohibited actions, validation, and escalation conditions.</w:t>
            </w:r>
          </w:p>
        </w:tc>
      </w:tr>
      <w:tr>
        <w:trPr>
          <w:cantSplit/>
        </w:trPr>
        <w:tc>
          <w:tcPr>
            <w:tcW w:type="dxa" w:w="3168"/>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Product repositories and automation systems</w:t>
            </w:r>
          </w:p>
        </w:tc>
        <w:tc>
          <w:tcPr>
            <w:tcW w:type="dxa" w:w="662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Consume versioned KEP assets through documented integration and adoption mechanisms.</w:t>
            </w:r>
          </w:p>
        </w:tc>
      </w:tr>
    </w:tbl>
    <w:p>
      <w:pPr>
        <w:spacing w:after="40"/>
        <w:widowControl w:val="true"/>
      </w:pPr>
    </w:p>
    <w:p>
      <w:pPr>
        <w:pStyle w:val="Heading2"/>
        <w:keepNext/>
        <w:widowControl w:val="true"/>
      </w:pPr>
      <w:r>
        <w:rPr>
          <w:rFonts w:ascii="Liberation Sans" w:hAnsi="Liberation Sans" w:eastAsia="Liberation Sans"/>
        </w:rPr>
        <w:t>4.1 Consumer 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Consumers SHALL identify which KEP version and capability set governs their work.</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Consumers SHALL distinguish authoritative platform policy from advisory guidance and local product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Consumers MUST NOT represent a template, generated artifact, automated result, or agent explanation as verified evidence unless the required verification occurred.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Consumers SHALL report material conflicts, recurring friction, and reusable lessons through the product-to-platform feedback loop.</w:t>
      </w:r>
    </w:p>
    <w:p>
      <w:pPr>
        <w:pStyle w:val="Heading1"/>
        <w:keepNext/>
        <w:widowControl w:val="true"/>
      </w:pPr>
      <w:r>
        <w:rPr>
          <w:rFonts w:ascii="Liberation Sans" w:hAnsi="Liberation Sans" w:eastAsia="Liberation Sans"/>
        </w:rPr>
        <w:t>5. KEP Operating Model</w:t>
      </w:r>
    </w:p>
    <w:p>
      <w:pPr>
        <w:spacing w:after="100" w:line="269" w:lineRule="auto"/>
        <w:widowControl w:val="true"/>
      </w:pPr>
      <w:r>
        <w:rPr>
          <w:rFonts w:ascii="Liberation Sans" w:hAnsi="Liberation Sans" w:eastAsia="Liberation Sans"/>
          <w:i w:val="0"/>
        </w:rPr>
        <w:t>KEP SHALL operate as a federated engineering platform. Platform governance and cross-product capabilities are centrally governed; product-domain decisions and product delivery remain locally accountable.</w:t>
      </w:r>
    </w:p>
    <w:p>
      <w:pPr>
        <w:pStyle w:val="Heading2"/>
        <w:keepNext/>
        <w:widowControl w:val="true"/>
      </w:pPr>
      <w:r>
        <w:rPr>
          <w:rFonts w:ascii="Liberation Sans" w:hAnsi="Liberation Sans" w:eastAsia="Liberation Sans"/>
        </w:rPr>
        <w:t>5.1 Operating Tenets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Centralize policy only where consistency, risk reduction, interoperability, or reuse creates demonstrable value.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Decentralize domain decisions to the product authority closest to the problem and accountable for the outcome.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Prefer versioned artifacts and contracts over undocumented convention.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Prefer local execution and replaceable adapters over mandatory platform runtime dependency unless a shared runtime is justified.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Separate normative policy, advisory guidance, reusable templates, executable helpers, and verification evidence.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Adopt capabilities incrementally and allow documented escape paths.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Treat every platform capability as a product with an owner, consumers, version, support boundary, success measure, and retirement path.</w:t>
      </w:r>
    </w:p>
    <w:p>
      <w:pPr>
        <w:pStyle w:val="Heading2"/>
        <w:keepNext/>
        <w:widowControl w:val="true"/>
      </w:pPr>
      <w:r>
        <w:rPr>
          <w:rFonts w:ascii="Liberation Sans" w:hAnsi="Liberation Sans" w:eastAsia="Liberation Sans"/>
        </w:rPr>
        <w:t>5.2 Platform Asset Classes</w:t>
      </w:r>
    </w:p>
    <w:p>
      <w:pPr/>
      <w:r>
        <w:t>For v0.1, KEP SHALL use one canonical repository. The logical structure SHALL include docs/, contracts/, skills/, playbooks/, templates/, schemas/, tools/, verification/, examples/, and research/. KEP SHALL NOT be split into multiple repositories during v0.1 unless a formally approved architecture decision demonstrates a proven need for separately versioned packages or runtime services.</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3360"/>
        <w:gridCol w:w="3360"/>
        <w:gridCol w:w="3360"/>
      </w:tblGrid>
      <w:tr>
        <w:trPr>
          <w:tblHeader w:val="true"/>
        </w:trPr>
        <w:tc>
          <w:tcPr>
            <w:tcW w:type="dxa" w:w="216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Asset class</w:t>
            </w:r>
          </w:p>
        </w:tc>
        <w:tc>
          <w:tcPr>
            <w:tcW w:type="dxa" w:w="360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Examples</w:t>
            </w:r>
          </w:p>
        </w:tc>
        <w:tc>
          <w:tcPr>
            <w:tcW w:type="dxa" w:w="4031"/>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Operating rule</w:t>
            </w:r>
          </w:p>
        </w:tc>
      </w:tr>
      <w:tr>
        <w:trPr>
          <w:cantSplit/>
        </w:trPr>
        <w:tc>
          <w:tcPr>
            <w:tcW w:type="dxa" w:w="216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Normative governance</w:t>
            </w:r>
          </w:p>
        </w:tc>
        <w:tc>
          <w:tcPr>
            <w:tcW w:type="dxa" w:w="360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Binding policy, standards, contracts, mandatory gate definitions, and approved exceptions.</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Versioned; change controlled; clear authority and precedence.</w:t>
            </w:r>
          </w:p>
        </w:tc>
      </w:tr>
      <w:tr>
        <w:trPr>
          <w:cantSplit/>
        </w:trPr>
        <w:tc>
          <w:tcPr>
            <w:tcW w:type="dxa" w:w="216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Reference guidance</w:t>
            </w:r>
          </w:p>
        </w:tc>
        <w:tc>
          <w:tcPr>
            <w:tcW w:type="dxa" w:w="360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Recommended architecture patterns, decision guidance, examples, and explanatory material.</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Advisory unless referenced by a binding contract.</w:t>
            </w:r>
          </w:p>
        </w:tc>
      </w:tr>
      <w:tr>
        <w:trPr>
          <w:cantSplit/>
        </w:trPr>
        <w:tc>
          <w:tcPr>
            <w:tcW w:type="dxa" w:w="216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Reusable operating knowledge</w:t>
            </w:r>
          </w:p>
        </w:tc>
        <w:tc>
          <w:tcPr>
            <w:tcW w:type="dxa" w:w="360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Skills, playbooks, checklists, and templates.</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Versioned; validated; adaptable; owned.</w:t>
            </w:r>
          </w:p>
        </w:tc>
      </w:tr>
      <w:tr>
        <w:trPr>
          <w:cantSplit/>
        </w:trPr>
        <w:tc>
          <w:tcPr>
            <w:tcW w:type="dxa" w:w="216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Machine-consumable definitions</w:t>
            </w:r>
          </w:p>
        </w:tc>
        <w:tc>
          <w:tcPr>
            <w:tcW w:type="dxa" w:w="360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Schemas, manifests, rule sets, metadata, and verification definitions.</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Stable identifiers; compatibility policy; deterministic interpretation.</w:t>
            </w:r>
          </w:p>
        </w:tc>
      </w:tr>
      <w:tr>
        <w:trPr>
          <w:cantSplit/>
        </w:trPr>
        <w:tc>
          <w:tcPr>
            <w:tcW w:type="dxa" w:w="216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Executable helpers</w:t>
            </w:r>
          </w:p>
        </w:tc>
        <w:tc>
          <w:tcPr>
            <w:tcW w:type="dxa" w:w="360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CLI capabilities, validation utilities, generators, and adapters.</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Implementation-neutral interface; auditable behavior; no hidden authority.</w:t>
            </w:r>
          </w:p>
        </w:tc>
      </w:tr>
      <w:tr>
        <w:trPr>
          <w:cantSplit/>
        </w:trPr>
        <w:tc>
          <w:tcPr>
            <w:tcW w:type="dxa" w:w="216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Evidence</w:t>
            </w:r>
          </w:p>
        </w:tc>
        <w:tc>
          <w:tcPr>
            <w:tcW w:type="dxa" w:w="360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Verification results, reviews, approvals, exceptions, and traceability records.</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Tamper-aware where required; attributable; reproducible when practical.</w:t>
            </w:r>
          </w:p>
        </w:tc>
      </w:tr>
      <w:tr>
        <w:trPr>
          <w:cantSplit/>
        </w:trPr>
        <w:tc>
          <w:tcPr>
            <w:tcW w:type="dxa" w:w="216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Platform services</w:t>
            </w:r>
          </w:p>
        </w:tc>
        <w:tc>
          <w:tcPr>
            <w:tcW w:type="dxa" w:w="360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Shared runtime services approved as platform capabilities.</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Explicit service owner, SLO, security boundary, cost model, and product opt-in/contract.</w:t>
            </w:r>
          </w:p>
        </w:tc>
      </w:tr>
      <w:tr>
        <w:tc>
          <w:tcPr>
            <w:tcW w:type="dxa" w:w="3360"/>
          </w:tcPr>
          <w:p>
            <w:r/>
            <w:r>
              <w:rPr>
                <w:b w:val="0"/>
              </w:rPr>
              <w:t>Canonical representation</w:t>
            </w:r>
          </w:p>
        </w:tc>
        <w:tc>
          <w:tcPr>
            <w:tcW w:type="dxa" w:w="3360"/>
          </w:tcPr>
          <w:p>
            <w:r/>
            <w:r>
              <w:rPr>
                <w:b w:val="0"/>
              </w:rPr>
              <w:t>Human-readable normative artifacts use Markdown. Machine-readable normative artifacts use JSON or YAML governed by versioned JSON Schema.</w:t>
            </w:r>
          </w:p>
        </w:tc>
        <w:tc>
          <w:tcPr>
            <w:tcW w:type="dxa" w:w="3360"/>
          </w:tcPr>
          <w:p>
            <w:r/>
            <w:r>
              <w:rPr>
                <w:b w:val="0"/>
              </w:rPr>
              <w:t>Each artifact class SHALL declare which representation is authoritative. Where both exist, automated validation SHALL detect disagreement.</w:t>
            </w:r>
          </w:p>
        </w:tc>
      </w:tr>
    </w:tbl>
    <w:p>
      <w:pPr>
        <w:spacing w:after="40"/>
        <w:widowControl w:val="true"/>
      </w:pPr>
    </w:p>
    <w:p>
      <w:pPr>
        <w:pStyle w:val="Heading2"/>
        <w:keepNext/>
        <w:widowControl w:val="true"/>
      </w:pPr>
      <w:r>
        <w:rPr>
          <w:rFonts w:ascii="Liberation Sans" w:hAnsi="Liberation Sans" w:eastAsia="Liberation Sans"/>
        </w:rPr>
        <w:t>5.3 Change and Release Model</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1.</w:t>
        <w:tab/>
      </w:r>
      <w:r>
        <w:rPr>
          <w:rFonts w:ascii="Liberation Sans" w:hAnsi="Liberation Sans" w:eastAsia="Liberation Sans"/>
          <w:b w:val="0"/>
          <w:i w:val="0"/>
        </w:rPr>
        <w:t>Proposal: state the problem, consumers, outcome, scope, alternatives, and evidence.</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2.</w:t>
        <w:tab/>
      </w:r>
      <w:r>
        <w:rPr>
          <w:rFonts w:ascii="Liberation Sans" w:hAnsi="Liberation Sans" w:eastAsia="Liberation Sans"/>
          <w:b w:val="0"/>
          <w:i w:val="0"/>
        </w:rPr>
        <w:t>Classification: determine whether the proposal is policy, guidance, reusable knowledge, executable capability, or a product concern.</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3.</w:t>
        <w:tab/>
      </w:r>
      <w:r>
        <w:rPr>
          <w:rFonts w:ascii="Liberation Sans" w:hAnsi="Liberation Sans" w:eastAsia="Liberation Sans"/>
          <w:b w:val="0"/>
          <w:i w:val="0"/>
        </w:rPr>
        <w:t>Review: assess authority, architecture, security, compatibility, operability, support cost, and over-engineering risk.</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4.</w:t>
        <w:tab/>
      </w:r>
      <w:r>
        <w:rPr>
          <w:rFonts w:ascii="Liberation Sans" w:hAnsi="Liberation Sans" w:eastAsia="Liberation Sans"/>
          <w:b w:val="0"/>
          <w:i w:val="0"/>
        </w:rPr>
        <w:t>Decision: approve, reject, defer, request evidence, or retain in the product repository.</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5.</w:t>
        <w:tab/>
      </w:r>
      <w:r>
        <w:rPr>
          <w:rFonts w:ascii="Liberation Sans" w:hAnsi="Liberation Sans" w:eastAsia="Liberation Sans"/>
          <w:b w:val="0"/>
          <w:i w:val="0"/>
        </w:rPr>
        <w:t>Packaging: assign ownership, version, documentation, compatibility, and migration guidance.</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6.</w:t>
        <w:tab/>
      </w:r>
      <w:r>
        <w:rPr>
          <w:rFonts w:ascii="Liberation Sans" w:hAnsi="Liberation Sans" w:eastAsia="Liberation Sans"/>
          <w:b w:val="0"/>
          <w:i w:val="0"/>
        </w:rPr>
        <w:t>Release: publish through approved channels with change notes and adoption impact.</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7.</w:t>
        <w:tab/>
      </w:r>
      <w:r>
        <w:rPr>
          <w:rFonts w:ascii="Liberation Sans" w:hAnsi="Liberation Sans" w:eastAsia="Liberation Sans"/>
          <w:b w:val="0"/>
          <w:i w:val="0"/>
        </w:rPr>
        <w:t>Adoption: products opt into or migrate to the released version under their own change controls unless a higher authority mandates adoption.</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8.</w:t>
        <w:tab/>
      </w:r>
      <w:r>
        <w:rPr>
          <w:rFonts w:ascii="Liberation Sans" w:hAnsi="Liberation Sans" w:eastAsia="Liberation Sans"/>
          <w:b w:val="0"/>
          <w:i w:val="0"/>
        </w:rPr>
        <w:t>Measurement and retirement: measure value, correct defects, deprecate unsupported versions, and retire capabilities that no longer justify their cost.</w:t>
      </w:r>
    </w:p>
    <w:p>
      <w:pPr>
        <w:pStyle w:val="Heading1"/>
        <w:keepNext/>
        <w:widowControl w:val="true"/>
      </w:pPr>
      <w:r>
        <w:rPr>
          <w:rFonts w:ascii="Liberation Sans" w:hAnsi="Liberation Sans" w:eastAsia="Liberation Sans"/>
        </w:rPr>
        <w:t>6. Relationship Between KEP and Product Repositories</w:t>
      </w:r>
    </w:p>
    <w:p>
      <w:pPr>
        <w:spacing w:after="100" w:line="269" w:lineRule="auto"/>
        <w:widowControl w:val="true"/>
      </w:pPr>
      <w:r>
        <w:rPr>
          <w:rFonts w:ascii="Liberation Sans" w:hAnsi="Liberation Sans" w:eastAsia="Liberation Sans"/>
          <w:i w:val="0"/>
        </w:rPr>
        <w:t>Product repositories, including repositories such as Metro-X Precision, are consumers of KEP rather than components that define KEP. A product MAY adopt KEP governance, artifacts, skills, playbooks, templates, verification, and agent operating constraints while remaining independently owned, built, released, deployed, and operated.</w:t>
      </w:r>
    </w:p>
    <w:p>
      <w:pPr>
        <w:pStyle w:val="Heading2"/>
        <w:keepNext/>
        <w:widowControl w:val="true"/>
      </w:pPr>
      <w:r>
        <w:rPr>
          <w:rFonts w:ascii="Liberation Sans" w:hAnsi="Liberation Sans" w:eastAsia="Liberation Sans"/>
        </w:rPr>
        <w:t>6.1 Product Sovereignty Within Platform Governance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product owns its domain model, terminology, business rules, user experience, product data, product-specific integrations, release schedule, deployment topology, service levels, and operational outcomes.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owns the platform-level rules and reusable capabilities through which those product responsibilities are expressed, executed, and verified.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product SHALL remain understandable and operable without requiring undocumented knowledge from the KEP maintainers.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SHALL NOT silently modify product behavior. Platform upgrades require explicit adoption, compatibility review, or an approved mandate with migration support.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Product repositories MAY maintain local extensions and stricter controls, provided they do not contradict higher authority.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Product repositories SHALL record the KEP version, adopted capabilities, local deviations, and approved exceptions that govern them.</w:t>
      </w:r>
    </w:p>
    <w:p>
      <w:pPr>
        <w:pStyle w:val="Heading2"/>
        <w:keepNext/>
        <w:widowControl w:val="true"/>
      </w:pPr>
      <w:r>
        <w:rPr>
          <w:rFonts w:ascii="Liberation Sans" w:hAnsi="Liberation Sans" w:eastAsia="Liberation Sans"/>
        </w:rPr>
        <w:t>6.2 Dependency Rules</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5040"/>
        <w:gridCol w:w="5040"/>
      </w:tblGrid>
      <w:tr>
        <w:trPr>
          <w:tblHeader w:val="true"/>
        </w:trPr>
        <w:tc>
          <w:tcPr>
            <w:tcW w:type="dxa" w:w="2736"/>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Rule</w:t>
            </w:r>
          </w:p>
        </w:tc>
        <w:tc>
          <w:tcPr>
            <w:tcW w:type="dxa" w:w="6983"/>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Required behavior</w:t>
            </w:r>
          </w:p>
        </w:tc>
      </w:tr>
      <w:tr>
        <w:trPr>
          <w:cantSplit/>
        </w:trPr>
        <w:tc>
          <w:tcPr>
            <w:tcW w:type="dxa" w:w="27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No accidental runtime dependency</w:t>
            </w:r>
          </w:p>
        </w:tc>
        <w:tc>
          <w:tcPr>
            <w:tcW w:type="dxa" w:w="698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Consuming KEP documentation, templates, or verification rules SHALL NOT require a product to depend on a KEP runtime service.</w:t>
            </w:r>
          </w:p>
        </w:tc>
      </w:tr>
      <w:tr>
        <w:trPr>
          <w:cantSplit/>
        </w:trPr>
        <w:tc>
          <w:tcPr>
            <w:tcW w:type="dxa" w:w="27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Explicit package dependency</w:t>
            </w:r>
          </w:p>
        </w:tc>
        <w:tc>
          <w:tcPr>
            <w:tcW w:type="dxa" w:w="698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Reusable libraries or executable helpers SHALL be versioned and declared like any other dependency.</w:t>
            </w:r>
          </w:p>
        </w:tc>
      </w:tr>
      <w:tr>
        <w:trPr>
          <w:cantSplit/>
        </w:trPr>
        <w:tc>
          <w:tcPr>
            <w:tcW w:type="dxa" w:w="27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Explicit service dependency</w:t>
            </w:r>
          </w:p>
        </w:tc>
        <w:tc>
          <w:tcPr>
            <w:tcW w:type="dxa" w:w="698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A product that consumes a KEP platform service SHALL have a service contract, availability expectation, security model, failure behavior, and exit path.</w:t>
            </w:r>
          </w:p>
        </w:tc>
      </w:tr>
      <w:tr>
        <w:trPr>
          <w:cantSplit/>
        </w:trPr>
        <w:tc>
          <w:tcPr>
            <w:tcW w:type="dxa" w:w="27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No cross-product data ownership</w:t>
            </w:r>
          </w:p>
        </w:tc>
        <w:tc>
          <w:tcPr>
            <w:tcW w:type="dxa" w:w="698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KEP SHALL NOT become the default system of record for product-domain data.</w:t>
            </w:r>
          </w:p>
        </w:tc>
      </w:tr>
      <w:tr>
        <w:trPr>
          <w:cantSplit/>
        </w:trPr>
        <w:tc>
          <w:tcPr>
            <w:tcW w:type="dxa" w:w="27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No shared release lockstep</w:t>
            </w:r>
          </w:p>
        </w:tc>
        <w:tc>
          <w:tcPr>
            <w:tcW w:type="dxa" w:w="6983"/>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Products SHALL NOT be forced into synchronized releases unless an approved shared contract requires coordinated change.</w:t>
            </w:r>
          </w:p>
        </w:tc>
      </w:tr>
      <w:tr>
        <w:trPr>
          <w:cantSplit/>
        </w:trPr>
        <w:tc>
          <w:tcPr>
            <w:tcW w:type="dxa" w:w="27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Compatibility before enforcement</w:t>
            </w:r>
          </w:p>
        </w:tc>
        <w:tc>
          <w:tcPr>
            <w:tcW w:type="dxa" w:w="6983"/>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Breaking platform changes SHALL include impact analysis, versioning, migration guidance, and an approved enforcement decision.</w:t>
            </w:r>
          </w:p>
        </w:tc>
      </w:tr>
    </w:tbl>
    <w:p>
      <w:pPr>
        <w:spacing w:after="40"/>
        <w:widowControl w:val="true"/>
      </w:pPr>
    </w:p>
    <w:p>
      <w:pPr>
        <w:pStyle w:val="Heading2"/>
        <w:keepNext/>
        <w:widowControl w:val="true"/>
      </w:pPr>
      <w:r>
        <w:rPr>
          <w:rFonts w:ascii="Liberation Sans" w:hAnsi="Liberation Sans" w:eastAsia="Liberation Sans"/>
        </w:rPr>
        <w:t>6.3 Product Adoption Record</w:t>
      </w:r>
    </w:p>
    <w:p>
      <w:pPr>
        <w:spacing w:after="100" w:line="269" w:lineRule="auto"/>
        <w:widowControl w:val="true"/>
      </w:pPr>
      <w:r>
        <w:rPr>
          <w:rFonts w:ascii="Liberation Sans" w:hAnsi="Liberation Sans" w:eastAsia="Liberation Sans"/>
          <w:i w:val="0"/>
        </w:rPr>
        <w:t>Each adopting product SHOULD maintain a concise, versioned adoption record containing:</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KEP version and effective adoption date.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Adopted subsystems and capabilities.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Mandatory and advisory rules applicable to the product.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Local extensions and repository-specific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Approved exceptions, compensating controls, owners, and review dates.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Migration state and known gaps.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Product owner, technical owner, release authority, and quality-gate authority.</w:t>
      </w:r>
    </w:p>
    <w:p>
      <w:pPr>
        <w:pStyle w:val="Heading1"/>
        <w:keepNext/>
        <w:widowControl w:val="true"/>
      </w:pPr>
      <w:r>
        <w:rPr>
          <w:rFonts w:ascii="Liberation Sans" w:hAnsi="Liberation Sans" w:eastAsia="Liberation Sans"/>
        </w:rPr>
        <w:t>7. Platform Capabilities and Product-Domain Capabilities</w:t>
      </w:r>
    </w:p>
    <w:p>
      <w:pPr>
        <w:spacing w:after="100" w:line="269" w:lineRule="auto"/>
        <w:widowControl w:val="true"/>
      </w:pPr>
      <w:r>
        <w:rPr>
          <w:rFonts w:ascii="Liberation Sans" w:hAnsi="Liberation Sans" w:eastAsia="Liberation Sans"/>
          <w:i w:val="0"/>
        </w:rPr>
        <w:t>KEP SHALL preserve a strict distinction between capabilities that improve engineering across products and capabilities that express the meaning or operation of a specific product domain.</w:t>
      </w:r>
    </w:p>
    <w:p>
      <w:pPr>
        <w:pStyle w:val="Heading2"/>
        <w:keepNext/>
        <w:widowControl w:val="true"/>
      </w:pPr>
      <w:r>
        <w:rPr>
          <w:rFonts w:ascii="Liberation Sans" w:hAnsi="Liberation Sans" w:eastAsia="Liberation Sans"/>
        </w:rPr>
        <w:t>7.1 Platform Capability</w:t>
      </w:r>
    </w:p>
    <w:p>
      <w:pPr>
        <w:spacing w:after="100" w:line="269" w:lineRule="auto"/>
        <w:widowControl w:val="true"/>
      </w:pPr>
      <w:r>
        <w:rPr>
          <w:rFonts w:ascii="Liberation Sans" w:hAnsi="Liberation Sans" w:eastAsia="Liberation Sans"/>
          <w:i w:val="0"/>
        </w:rPr>
        <w:t>A platform capability is a reusable, product-independent capability whose primary value is to improve consistency, safety, speed, traceability, interoperability, governance, or learning across multiple products or engineering contexts.</w:t>
      </w:r>
    </w:p>
    <w:p>
      <w:pPr>
        <w:spacing w:after="100" w:line="269" w:lineRule="auto"/>
        <w:widowControl w:val="true"/>
      </w:pPr>
      <w:r>
        <w:rPr>
          <w:rFonts w:ascii="Liberation Sans" w:hAnsi="Liberation Sans" w:eastAsia="Liberation Sans"/>
          <w:i w:val="0"/>
        </w:rPr>
        <w:t>Typical platform capabilities include requirement traceability methods, architecture decision structures, repository contracts, agent task envelopes, verification schemas, quality-gate definitions, and generic operational tooling.</w:t>
      </w:r>
    </w:p>
    <w:p>
      <w:pPr>
        <w:pStyle w:val="Heading2"/>
        <w:keepNext/>
        <w:widowControl w:val="true"/>
      </w:pPr>
      <w:r>
        <w:rPr>
          <w:rFonts w:ascii="Liberation Sans" w:hAnsi="Liberation Sans" w:eastAsia="Liberation Sans"/>
        </w:rPr>
        <w:t>7.2 Product-Domain Capability</w:t>
      </w:r>
    </w:p>
    <w:p>
      <w:pPr>
        <w:spacing w:after="100" w:line="269" w:lineRule="auto"/>
        <w:widowControl w:val="true"/>
      </w:pPr>
      <w:r>
        <w:rPr>
          <w:rFonts w:ascii="Liberation Sans" w:hAnsi="Liberation Sans" w:eastAsia="Liberation Sans"/>
          <w:i w:val="0"/>
        </w:rPr>
        <w:t>A product-domain capability represents product-specific language, policy, workflows, data, user outcomes, regulatory interpretation, business logic, or operational behavior. It SHALL remain in the product repository or an explicitly governed domain platform.</w:t>
      </w:r>
    </w:p>
    <w:p>
      <w:pPr>
        <w:pStyle w:val="Heading2"/>
        <w:keepNext/>
        <w:widowControl w:val="true"/>
      </w:pPr>
      <w:r>
        <w:rPr>
          <w:rFonts w:ascii="Liberation Sans" w:hAnsi="Liberation Sans" w:eastAsia="Liberation Sans"/>
        </w:rPr>
        <w:t>7.3 Separation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Product-domain terminology SHALL NOT enter KEP normative contracts unless it is converted into a genuinely domain-neutral concept and approved through platform governance.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Generic infrastructure code is not automatically a platform capability. Ownership, reuse evidence, support cost, compatibility, and coupling must be evaluated.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capability SHALL NOT be promoted to KEP merely because more than one product copied it.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product MAY implement a local capability before platform promotion. Early product implementation is the preferred proving ground for uncertain abstractions.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platform capability MAY define an extension point that allows products to supply domain-specific policies, adapters, or configuration without moving those policies into KEP.</w:t>
      </w:r>
    </w:p>
    <w:p>
      <w:pPr>
        <w:pStyle w:val="Heading2"/>
        <w:keepNext/>
        <w:widowControl w:val="true"/>
      </w:pPr>
      <w:r>
        <w:rPr>
          <w:rFonts w:ascii="Liberation Sans" w:hAnsi="Liberation Sans" w:eastAsia="Liberation Sans"/>
        </w:rPr>
        <w:t>7.4 Hybrid Capabilities</w:t>
      </w:r>
    </w:p>
    <w:p>
      <w:pPr>
        <w:spacing w:after="100" w:line="269" w:lineRule="auto"/>
        <w:widowControl w:val="true"/>
      </w:pPr>
      <w:r>
        <w:rPr>
          <w:rFonts w:ascii="Liberation Sans" w:hAnsi="Liberation Sans" w:eastAsia="Liberation Sans"/>
          <w:i w:val="0"/>
        </w:rPr>
        <w:t>Some capabilities have a platform core and a product adapter. In that case: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owns the generic contract, lifecycle, verification behavior, and compatibility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product owns domain mapping, product configuration, product data, and product-specific failure handling.</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boundary SHALL be documented as an interface or data contract.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product SHALL be able to test its adapter independently of other products.</w:t>
      </w:r>
    </w:p>
    <w:p>
      <w:pPr>
        <w:pStyle w:val="Heading1"/>
        <w:keepNext/>
        <w:widowControl w:val="true"/>
      </w:pPr>
      <w:r>
        <w:rPr>
          <w:rFonts w:ascii="Liberation Sans" w:hAnsi="Liberation Sans" w:eastAsia="Liberation Sans"/>
        </w:rPr>
        <w:t>8. Core KEP Subsystems</w:t>
      </w:r>
    </w:p>
    <w:p>
      <w:pPr>
        <w:spacing w:after="100" w:line="269" w:lineRule="auto"/>
        <w:widowControl w:val="true"/>
      </w:pPr>
      <w:r>
        <w:rPr>
          <w:rFonts w:ascii="Liberation Sans" w:hAnsi="Liberation Sans" w:eastAsia="Liberation Sans"/>
          <w:i w:val="0"/>
        </w:rPr>
        <w:t>The following subsystems define the minimum conceptual architecture of KEP. They are logical ownership boundaries, not a mandate for separate repositories, services, teams, or technologies.</w:t>
      </w:r>
    </w:p>
    <w:p>
      <w:pPr>
        <w:pStyle w:val="Heading2"/>
        <w:keepNext/>
        <w:widowControl w:val="true"/>
      </w:pPr>
      <w:r>
        <w:rPr>
          <w:rFonts w:ascii="Liberation Sans" w:hAnsi="Liberation Sans" w:eastAsia="Liberation Sans"/>
        </w:rPr>
        <w:t>8.1 Governance</w:t>
      </w:r>
    </w:p>
    <w:p>
      <w:pPr>
        <w:spacing w:after="100" w:line="269" w:lineRule="auto"/>
        <w:widowControl w:val="true"/>
      </w:pPr>
      <w:r>
        <w:rPr>
          <w:rFonts w:ascii="Liberation Sans" w:hAnsi="Liberation Sans" w:eastAsia="Liberation Sans"/>
          <w:i w:val="0"/>
        </w:rPr>
        <w:t>Defines authority, scope, policy, standards, exceptions, ownership, precedence, and controlled evolution.</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Maintain the constitutional and foundational document hierarchy.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policy lifecycle, approval, amendment, exception, deprecation, and review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Maintain platform scope and prevent unauthorized expansion.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Publish decision rights and accountable owners.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Resolve conflicts among platform artifacts.</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Ratified governance documents.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Policy and standards catalog.</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Exception records.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Ownership and decision records.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Governance change log.</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Governance does not approve product-domain requirements or assume product operational accountability.</w:t>
            </w:r>
          </w:p>
        </w:tc>
      </w:tr>
    </w:tbl>
    <w:p>
      <w:pPr>
        <w:spacing w:after="40"/>
        <w:widowControl w:val="true"/>
      </w:pPr>
    </w:p>
    <w:p>
      <w:pPr>
        <w:pStyle w:val="Heading2"/>
        <w:keepNext/>
        <w:widowControl w:val="true"/>
      </w:pPr>
      <w:r>
        <w:rPr>
          <w:rFonts w:ascii="Liberation Sans" w:hAnsi="Liberation Sans" w:eastAsia="Liberation Sans"/>
        </w:rPr>
        <w:t>8.2 Engineering Contracts</w:t>
      </w:r>
    </w:p>
    <w:p>
      <w:pPr>
        <w:spacing w:after="100" w:line="269" w:lineRule="auto"/>
        <w:widowControl w:val="true"/>
      </w:pPr>
      <w:r>
        <w:rPr>
          <w:rFonts w:ascii="Liberation Sans" w:hAnsi="Liberation Sans" w:eastAsia="Liberation Sans"/>
          <w:i w:val="0"/>
        </w:rPr>
        <w:t>Defines explicit, versioned commitments that govern engineering boundaries and completion expectations.</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requirement, interface, data, security, operational, repository, and agent contract structures.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Provide contract identifiers, ownership, versioning, compatibility, and change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Connect contracts to acceptance criteria and verification evidence.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contract breach and exception handling.</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Contract schemas and templates.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Approved contract instances or references.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Compatibility and change guidance.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Contract conformance evidence.</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Contracts specify obligations and evidence; they do not replace implementation design or product acceptance authority.</w:t>
            </w:r>
          </w:p>
        </w:tc>
      </w:tr>
    </w:tbl>
    <w:p>
      <w:pPr>
        <w:spacing w:after="40"/>
        <w:widowControl w:val="true"/>
      </w:pPr>
    </w:p>
    <w:p>
      <w:pPr>
        <w:pStyle w:val="Heading2"/>
        <w:keepNext/>
        <w:widowControl w:val="true"/>
      </w:pPr>
      <w:r>
        <w:rPr>
          <w:rFonts w:ascii="Liberation Sans" w:hAnsi="Liberation Sans" w:eastAsia="Liberation Sans"/>
        </w:rPr>
        <w:t>8.3 Architecture</w:t>
      </w:r>
    </w:p>
    <w:p>
      <w:pPr>
        <w:spacing w:after="100" w:line="269" w:lineRule="auto"/>
        <w:widowControl w:val="true"/>
      </w:pPr>
      <w:r>
        <w:rPr>
          <w:rFonts w:ascii="Liberation Sans" w:hAnsi="Liberation Sans" w:eastAsia="Liberation Sans"/>
          <w:i w:val="0"/>
        </w:rPr>
        <w:t>Provides product-independent architecture principles, decision methods, reference boundaries, and conformance expectations.</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Maintain architecture principles aligned with KEP-000.</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Provide decision-record standards and reference views.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cross-cutting concerns such as security, observability, failure, data ownership, replaceability, and evolution.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Evaluate proposed platform architecture and shared capability boundaries.</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Architecture standards and guidance.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Reference architectures and patterns.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Architecture decision records.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Conformance review methods.</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Architecture guidance SHALL NOT impose one framework, deployment model, language, operating system, repository provider, or cloud.</w:t>
            </w:r>
          </w:p>
        </w:tc>
      </w:tr>
    </w:tbl>
    <w:p>
      <w:pPr>
        <w:spacing w:after="40"/>
        <w:widowControl w:val="true"/>
      </w:pPr>
    </w:p>
    <w:p>
      <w:pPr>
        <w:pStyle w:val="Heading2"/>
        <w:keepNext/>
        <w:widowControl w:val="true"/>
      </w:pPr>
      <w:r>
        <w:rPr>
          <w:rFonts w:ascii="Liberation Sans" w:hAnsi="Liberation Sans" w:eastAsia="Liberation Sans"/>
        </w:rPr>
        <w:t>8.4 Knowledge Intelligence</w:t>
      </w:r>
    </w:p>
    <w:p>
      <w:pPr>
        <w:spacing w:after="100" w:line="269" w:lineRule="auto"/>
        <w:widowControl w:val="true"/>
      </w:pPr>
      <w:r>
        <w:rPr>
          <w:rFonts w:ascii="Liberation Sans" w:hAnsi="Liberation Sans" w:eastAsia="Liberation Sans"/>
          <w:i w:val="0"/>
        </w:rPr>
        <w:t>Makes authoritative engineering knowledge durable, discoverable, connected, current, and usable by humans and agents.</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knowledge taxonomy, identifiers, metadata, ownership, and authoritative-source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Support retrieval of relevant context without treating search results as authority.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Detect conflicts, gaps, stale artifacts, and broken references where feasible.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Maintain context manifests and knowledge links across lifecycle artifacts.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Capture lessons and promote validated learning.</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Knowledge catalog.</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Authority maps.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Context manifests.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Traceability links.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Decision and lesson records.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Staleness and conflict findings.</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Knowledge Intelligence is not an unrestricted memory store, surveillance system, or substitute for source validation.</w:t>
            </w:r>
          </w:p>
        </w:tc>
      </w:tr>
    </w:tbl>
    <w:p>
      <w:pPr>
        <w:spacing w:after="40"/>
        <w:widowControl w:val="true"/>
      </w:pPr>
    </w:p>
    <w:p>
      <w:pPr>
        <w:pStyle w:val="Heading2"/>
        <w:keepNext/>
        <w:widowControl w:val="true"/>
      </w:pPr>
      <w:r>
        <w:rPr>
          <w:rFonts w:ascii="Liberation Sans" w:hAnsi="Liberation Sans" w:eastAsia="Liberation Sans"/>
        </w:rPr>
        <w:t>8.5 Skills</w:t>
      </w:r>
    </w:p>
    <w:p>
      <w:pPr>
        <w:spacing w:after="100" w:line="269" w:lineRule="auto"/>
        <w:widowControl w:val="true"/>
      </w:pPr>
      <w:r>
        <w:rPr>
          <w:rFonts w:ascii="Liberation Sans" w:hAnsi="Liberation Sans" w:eastAsia="Liberation Sans"/>
          <w:i w:val="0"/>
        </w:rPr>
        <w:t>Defines reusable, bounded methods for performing a class of engineering work consistently.</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Specify purpose, preconditions, inputs, process, tools or tool categories, constraints, outputs, validation, failure, and escalation.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Remain tool-neutral at the normative level.</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Be testable through representative use.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Identify required human approvals.</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Versioned skill definitions.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Skill acceptance tests or evaluation evidence.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Skill ownership and support metadata.</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A skill is not an open-ended persona, hidden prompt, or authority to bypass product rules.</w:t>
            </w:r>
          </w:p>
        </w:tc>
      </w:tr>
    </w:tbl>
    <w:p>
      <w:pPr>
        <w:spacing w:after="40"/>
        <w:widowControl w:val="true"/>
      </w:pPr>
    </w:p>
    <w:p>
      <w:pPr>
        <w:pStyle w:val="Heading2"/>
        <w:keepNext/>
        <w:widowControl w:val="true"/>
      </w:pPr>
      <w:r>
        <w:rPr>
          <w:rFonts w:ascii="Liberation Sans" w:hAnsi="Liberation Sans" w:eastAsia="Liberation Sans"/>
        </w:rPr>
        <w:t>8.6 Playbooks</w:t>
      </w:r>
    </w:p>
    <w:p>
      <w:pPr>
        <w:spacing w:after="100" w:line="269" w:lineRule="auto"/>
        <w:widowControl w:val="true"/>
      </w:pPr>
      <w:r>
        <w:rPr>
          <w:rFonts w:ascii="Liberation Sans" w:hAnsi="Liberation Sans" w:eastAsia="Liberation Sans"/>
          <w:i w:val="0"/>
        </w:rPr>
        <w:t>Coordinates multiple skills, roles, decisions, and quality gates for recurring engineering scenarios.</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scenario entry conditions, phases, decision points, roles, evidence, exit conditions, and escalation.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Support variation rather than assuming one linear path.</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Link to underlying contracts, skills, templates, and gates.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Capture outcomes and lessons after execution.</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Versioned playbooks.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Scenario checklists.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Decision and escalation paths.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Execution and retrospective records.</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Playbooks do not replace incident command, product ownership, or context-specific judgment.</w:t>
            </w:r>
          </w:p>
        </w:tc>
      </w:tr>
    </w:tbl>
    <w:p>
      <w:pPr>
        <w:spacing w:after="40"/>
        <w:widowControl w:val="true"/>
      </w:pPr>
    </w:p>
    <w:p>
      <w:pPr>
        <w:pStyle w:val="Heading2"/>
        <w:keepNext/>
        <w:widowControl w:val="true"/>
      </w:pPr>
      <w:r>
        <w:rPr>
          <w:rFonts w:ascii="Liberation Sans" w:hAnsi="Liberation Sans" w:eastAsia="Liberation Sans"/>
        </w:rPr>
        <w:t>8.7 Templates</w:t>
      </w:r>
    </w:p>
    <w:p>
      <w:pPr>
        <w:spacing w:after="100" w:line="269" w:lineRule="auto"/>
        <w:widowControl w:val="true"/>
      </w:pPr>
      <w:r>
        <w:rPr>
          <w:rFonts w:ascii="Liberation Sans" w:hAnsi="Liberation Sans" w:eastAsia="Liberation Sans"/>
          <w:i w:val="0"/>
        </w:rPr>
        <w:t>Provides standardized starting structures for recurring artifacts and records.</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Encode mandatory fields and terminology.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Remain adaptable to project risk and context.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Identify which sections are mandatory, optional, or not applicable.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Avoid fake completeness through placeholder text.</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Document templates.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Machine-readable schemas.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Examples and completion guidance.</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A completed template is not evidence of correctness and SHALL NOT be treated as approval.</w:t>
            </w:r>
          </w:p>
        </w:tc>
      </w:tr>
    </w:tbl>
    <w:p>
      <w:pPr>
        <w:spacing w:after="40"/>
        <w:widowControl w:val="true"/>
      </w:pPr>
    </w:p>
    <w:p>
      <w:pPr>
        <w:pStyle w:val="Heading2"/>
        <w:keepNext/>
        <w:widowControl w:val="true"/>
      </w:pPr>
      <w:r>
        <w:rPr>
          <w:rFonts w:ascii="Liberation Sans" w:hAnsi="Liberation Sans" w:eastAsia="Liberation Sans"/>
        </w:rPr>
        <w:t>8.8 Operations CLI</w:t>
      </w:r>
    </w:p>
    <w:p>
      <w:pPr/>
      <w:r>
        <w:t>The v0.1 implementation direction is TypeScript on Node.js, distributed as an npm package with a repository-local launcher and supported initially on Windows, Linux, and macOS. The CLI contract SHALL remain vendor-neutral. Initial command surfaces are: kep status, kep doctor, kep init, kep validate, kep verify, kep gate, and kep report. Detailed implementation, extension, packaging, security, and compatibility decisions SHALL be governed by a separate CLI architecture document before implementation is finalized.</w:t>
      </w:r>
    </w:p>
    <w:p>
      <w:pPr>
        <w:spacing w:after="100" w:line="269" w:lineRule="auto"/>
        <w:widowControl w:val="true"/>
      </w:pPr>
      <w:r>
        <w:rPr>
          <w:rFonts w:ascii="Liberation Sans" w:hAnsi="Liberation Sans" w:eastAsia="Liberation Sans"/>
          <w:i w:val="0"/>
        </w:rPr>
        <w:t>Provides a vendor-neutral command interface for inspecting, initializing, validating, verifying, and reporting KEP-governed repositories and artifacts.</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Expose stable command semantics independent of implementation language.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Operate locally by default and make external calls explicit.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Produce human-readable and machine-readable results.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Record what was checked, what was not checked, and the evidence produced.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Support extensions without allowing hidden commands to override governance.</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CLI command contract.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Configuration and extension model.</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Validation and verification reports.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Exit-code and error semantics.</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The CLI is not a universal build system, deployment platform, secrets manager, repository host, or autonomous coding agent.</w:t>
            </w:r>
          </w:p>
        </w:tc>
      </w:tr>
    </w:tbl>
    <w:p>
      <w:pPr>
        <w:spacing w:after="40"/>
        <w:widowControl w:val="true"/>
      </w:pPr>
    </w:p>
    <w:p>
      <w:pPr>
        <w:pStyle w:val="Heading2"/>
        <w:keepNext/>
        <w:widowControl w:val="true"/>
      </w:pPr>
      <w:r>
        <w:rPr>
          <w:rFonts w:ascii="Liberation Sans" w:hAnsi="Liberation Sans" w:eastAsia="Liberation Sans"/>
        </w:rPr>
        <w:t>8.9 Verification</w:t>
      </w:r>
    </w:p>
    <w:p>
      <w:pPr>
        <w:spacing w:after="100" w:line="269" w:lineRule="auto"/>
        <w:widowControl w:val="true"/>
      </w:pPr>
      <w:r>
        <w:rPr>
          <w:rFonts w:ascii="Liberation Sans" w:hAnsi="Liberation Sans" w:eastAsia="Liberation Sans"/>
          <w:i w:val="0"/>
        </w:rPr>
        <w:t>Determines whether claims, artifacts, contracts, and deliverables are supported by appropriate evidence.</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verification types, evidence formats, result states, reproducibility, and provenance.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Distinguish structural checks, automated tests, static analysis, runtime checks, reviews, and acceptance validation.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Prevent unexecuted checks from being reported as passed.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Link findings to requirements, contracts, changes, and gates.</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Verification plans.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Evidence records.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Pass, fail, blocked, not-run, and not-applicable results.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Findings and remediation records.</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Verification reduces uncertainty but does not guarantee absence of defects or transfer accountability away from owners.</w:t>
            </w:r>
          </w:p>
        </w:tc>
      </w:tr>
    </w:tbl>
    <w:p>
      <w:pPr>
        <w:spacing w:after="40"/>
        <w:widowControl w:val="true"/>
      </w:pPr>
    </w:p>
    <w:p>
      <w:pPr>
        <w:pStyle w:val="Heading2"/>
        <w:keepNext/>
        <w:widowControl w:val="true"/>
      </w:pPr>
      <w:r>
        <w:rPr>
          <w:rFonts w:ascii="Liberation Sans" w:hAnsi="Liberation Sans" w:eastAsia="Liberation Sans"/>
        </w:rPr>
        <w:t>8.10 Quality Gates</w:t>
      </w:r>
    </w:p>
    <w:p>
      <w:pPr>
        <w:spacing w:after="100" w:line="269" w:lineRule="auto"/>
        <w:widowControl w:val="true"/>
      </w:pPr>
      <w:r>
        <w:rPr>
          <w:rFonts w:ascii="Liberation Sans" w:hAnsi="Liberation Sans" w:eastAsia="Liberation Sans"/>
          <w:i w:val="0"/>
        </w:rPr>
        <w:t>Applies risk-appropriate decision points that determine whether work may proceed, merge, release, or be accepted.</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gate purpose, applicability, entry evidence, pass criteria, authorized approver, failure handling, and exception path.</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Map gates to system risk and change impact.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Block progress when mandatory evidence is absent or failed.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Prevent low-risk work from inheriting unnecessary high-risk process.</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Gate catalog.</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Gate policies and profiles.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Gate decision records.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Exception and waiver records.</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Quality Gates are not a substitute for engineering judgment and SHALL NOT be optimized solely for pass rate.</w:t>
            </w:r>
          </w:p>
        </w:tc>
      </w:tr>
    </w:tbl>
    <w:p>
      <w:pPr>
        <w:spacing w:after="40"/>
        <w:widowControl w:val="true"/>
      </w:pPr>
    </w:p>
    <w:p>
      <w:pPr>
        <w:pStyle w:val="Heading2"/>
        <w:keepNext/>
        <w:widowControl w:val="true"/>
      </w:pPr>
      <w:r>
        <w:rPr>
          <w:rFonts w:ascii="Liberation Sans" w:hAnsi="Liberation Sans" w:eastAsia="Liberation Sans"/>
        </w:rPr>
        <w:t>8.11 Agent Operating Layer</w:t>
      </w:r>
    </w:p>
    <w:p>
      <w:pPr>
        <w:spacing w:after="100" w:line="269" w:lineRule="auto"/>
        <w:widowControl w:val="true"/>
      </w:pPr>
      <w:r>
        <w:rPr>
          <w:rFonts w:ascii="Liberation Sans" w:hAnsi="Liberation Sans" w:eastAsia="Liberation Sans"/>
          <w:i w:val="0"/>
        </w:rPr>
        <w:t>Provides a tool-neutral control plane for AI-assisted and autonomous engineering tasks.</w:t>
      </w:r>
    </w:p>
    <w:p>
      <w:pPr>
        <w:pStyle w:val="Heading3"/>
        <w:keepNext/>
        <w:widowControl w:val="true"/>
      </w:pPr>
      <w:r>
        <w:rPr>
          <w:rFonts w:ascii="Liberation Sans" w:hAnsi="Liberation Sans" w:eastAsia="Liberation Sans"/>
        </w:rPr>
        <w:t>Responsibilities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Define agent roles, task envelopes, context manifests, authority, allowed and prohibited actions, tool boundaries, output contracts, validation, escalation, and handoff.</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Require traceability of sources, assumptions, actions, outputs, and verification.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Separate recommendation authority from human approval authority.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Support multiple agents and vendors through adapters without changing core contracts.</w:t>
      </w:r>
    </w:p>
    <w:p>
      <w:pPr>
        <w:pStyle w:val="Heading3"/>
        <w:keepNext/>
        <w:widowControl w:val="true"/>
      </w:pPr>
      <w:r>
        <w:rPr>
          <w:rFonts w:ascii="Liberation Sans" w:hAnsi="Liberation Sans" w:eastAsia="Liberation Sans"/>
        </w:rPr>
        <w:t>Primary outputs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Agent contracts.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Task envelopes.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Context packages.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Execution and evidence logs.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Human approval and handoff records.</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5F6F8"/>
            <w:tcMar>
              <w:top w:w="150" w:type="dxa"/>
              <w:start w:w="180" w:type="dxa"/>
              <w:bottom w:w="150" w:type="dxa"/>
              <w:end w:w="180" w:type="dxa"/>
            </w:tcMar>
          </w:tcPr>
          <w:p>
            <w:pPr>
              <w:spacing w:after="80"/>
            </w:pPr>
            <w:r>
              <w:rPr>
                <w:rFonts w:ascii="Liberation Sans" w:hAnsi="Liberation Sans" w:eastAsia="Liberation Sans"/>
                <w:b/>
                <w:i w:val="0"/>
                <w:color w:val="17365D"/>
                <w:sz w:val="21"/>
              </w:rPr>
              <w:t>Subsystem boundary</w:t>
            </w:r>
          </w:p>
          <w:p>
            <w:pPr>
              <w:spacing w:after="0" w:line="259" w:lineRule="auto"/>
            </w:pPr>
            <w:r>
              <w:rPr>
                <w:rFonts w:ascii="Liberation Sans" w:hAnsi="Liberation Sans" w:eastAsia="Liberation Sans"/>
                <w:b w:val="0"/>
                <w:i w:val="0"/>
                <w:color w:val="1F2937"/>
                <w:sz w:val="19"/>
              </w:rPr>
              <w:t>The Agent Operating Layer is not an autonomous executive authority, a guarantee of model correctness, or a mandate to use any particular AI system.</w:t>
            </w:r>
          </w:p>
        </w:tc>
      </w:tr>
    </w:tbl>
    <w:p>
      <w:pPr>
        <w:spacing w:after="40"/>
        <w:widowControl w:val="true"/>
      </w:pPr>
    </w:p>
    <w:p>
      <w:pPr>
        <w:pStyle w:val="Heading1"/>
        <w:keepNext/>
        <w:widowControl w:val="true"/>
      </w:pPr>
      <w:r>
        <w:rPr>
          <w:rFonts w:ascii="Liberation Sans" w:hAnsi="Liberation Sans" w:eastAsia="Liberation Sans"/>
        </w:rPr>
        <w:t>9. KEP Engineering Lifecycle</w:t>
      </w:r>
    </w:p>
    <w:p>
      <w:pPr>
        <w:spacing w:after="100" w:line="269" w:lineRule="auto"/>
        <w:widowControl w:val="true"/>
      </w:pPr>
      <w:r>
        <w:rPr>
          <w:rFonts w:ascii="Liberation Sans" w:hAnsi="Liberation Sans" w:eastAsia="Liberation Sans"/>
          <w:i w:val="0"/>
        </w:rPr>
        <w:t>KEP SHALL use the following lifecycle as the canonical flow for material engineering work. The lifecycle is logical rather than strictly sequential; iteration is expected, but omitted stages require a documented reason when they are applicable.</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2520"/>
        <w:gridCol w:w="2520"/>
        <w:gridCol w:w="2520"/>
        <w:gridCol w:w="2520"/>
      </w:tblGrid>
      <w:tr>
        <w:trPr>
          <w:tblHeader w:val="true"/>
        </w:trPr>
        <w:tc>
          <w:tcPr>
            <w:tcW w:type="dxa" w:w="108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Stage</w:t>
            </w:r>
          </w:p>
        </w:tc>
        <w:tc>
          <w:tcPr>
            <w:tcW w:type="dxa" w:w="2376"/>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Purpose</w:t>
            </w:r>
          </w:p>
        </w:tc>
        <w:tc>
          <w:tcPr>
            <w:tcW w:type="dxa" w:w="324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Required outputs</w:t>
            </w:r>
          </w:p>
        </w:tc>
        <w:tc>
          <w:tcPr>
            <w:tcW w:type="dxa" w:w="3168"/>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Exit condition</w:t>
            </w:r>
          </w:p>
        </w:tc>
      </w:tr>
      <w:tr>
        <w:trPr>
          <w:cantSplit/>
        </w:trPr>
        <w:tc>
          <w:tcPr>
            <w:tcW w:type="dxa" w:w="10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Intent</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Define the problem, affected users, desired outcome, value, constraints, authority, and uncertainty.</w:t>
            </w:r>
          </w:p>
        </w:tc>
        <w:tc>
          <w:tcPr>
            <w:tcW w:type="dxa" w:w="324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Intent statement, scope hypothesis, stakeholders, constraints, open questions.</w:t>
            </w:r>
          </w:p>
        </w:tc>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The problem and outcome are clear enough to evaluate; unresolved material ambiguity is visible.</w:t>
            </w:r>
          </w:p>
        </w:tc>
      </w:tr>
      <w:tr>
        <w:trPr>
          <w:cantSplit/>
        </w:trPr>
        <w:tc>
          <w:tcPr>
            <w:tcW w:type="dxa" w:w="10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Requirements</w:t>
            </w:r>
          </w:p>
        </w:tc>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Translate intent into structured, testable, traceable requirements and acceptance criteria.</w:t>
            </w:r>
          </w:p>
        </w:tc>
        <w:tc>
          <w:tcPr>
            <w:tcW w:type="dxa" w:w="324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Requirement contracts, quality attributes, assumptions, exclusions, acceptance criteria.</w:t>
            </w:r>
          </w:p>
        </w:tc>
        <w:tc>
          <w:tcPr>
            <w:tcW w:type="dxa" w:w="316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Requirements are owned, prioritized, internally coherent, and testable at the appropriate level.</w:t>
            </w:r>
          </w:p>
        </w:tc>
      </w:tr>
      <w:tr>
        <w:trPr>
          <w:cantSplit/>
        </w:trPr>
        <w:tc>
          <w:tcPr>
            <w:tcW w:type="dxa" w:w="10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Architecture</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Select boundaries and technical approaches based on requirements, constraints, risks, and tradeoffs.</w:t>
            </w:r>
          </w:p>
        </w:tc>
        <w:tc>
          <w:tcPr>
            <w:tcW w:type="dxa" w:w="324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Architecture views, decision records, threat and failure considerations, data and integration boundaries.</w:t>
            </w:r>
          </w:p>
        </w:tc>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Material decisions have rationale, consequences, validation, and reconsideration triggers.</w:t>
            </w:r>
          </w:p>
        </w:tc>
      </w:tr>
      <w:tr>
        <w:trPr>
          <w:cantSplit/>
        </w:trPr>
        <w:tc>
          <w:tcPr>
            <w:tcW w:type="dxa" w:w="10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Engineering Contract</w:t>
            </w:r>
          </w:p>
        </w:tc>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Bind the approved requirements, interfaces, data, security, operations, repository rules, task scope, and definition of done.</w:t>
            </w:r>
          </w:p>
        </w:tc>
        <w:tc>
          <w:tcPr>
            <w:tcW w:type="dxa" w:w="324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Versioned engineering contract and traceability links.</w:t>
            </w:r>
          </w:p>
        </w:tc>
        <w:tc>
          <w:tcPr>
            <w:tcW w:type="dxa" w:w="316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The execution boundary is explicit; changes require controlled evaluation.</w:t>
            </w:r>
          </w:p>
        </w:tc>
      </w:tr>
      <w:tr>
        <w:trPr>
          <w:cantSplit/>
        </w:trPr>
        <w:tc>
          <w:tcPr>
            <w:tcW w:type="dxa" w:w="10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Execution</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Produce or modify the required artifacts within the contract and repository rules.</w:t>
            </w:r>
          </w:p>
        </w:tc>
        <w:tc>
          <w:tcPr>
            <w:tcW w:type="dxa" w:w="324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Implementation artifacts, tests, documentation, migrations, operational changes, work log.</w:t>
            </w:r>
          </w:p>
        </w:tc>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The planned work is complete or incomplete elements are explicitly declared.</w:t>
            </w:r>
          </w:p>
        </w:tc>
      </w:tr>
      <w:tr>
        <w:trPr>
          <w:cantSplit/>
        </w:trPr>
        <w:tc>
          <w:tcPr>
            <w:tcW w:type="dxa" w:w="10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Verification</w:t>
            </w:r>
          </w:p>
        </w:tc>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Execute the required checks and collect evidence supporting or refuting claims.</w:t>
            </w:r>
          </w:p>
        </w:tc>
        <w:tc>
          <w:tcPr>
            <w:tcW w:type="dxa" w:w="324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Build/test results, analyses, scans, runtime evidence, traceability, findings.</w:t>
            </w:r>
          </w:p>
        </w:tc>
        <w:tc>
          <w:tcPr>
            <w:tcW w:type="dxa" w:w="316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All mandatory checks have a truthful result state; failures and blocked checks are visible.</w:t>
            </w:r>
          </w:p>
        </w:tc>
      </w:tr>
      <w:tr>
        <w:trPr>
          <w:cantSplit/>
        </w:trPr>
        <w:tc>
          <w:tcPr>
            <w:tcW w:type="dxa" w:w="10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Review</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Evaluate fidelity, architecture, security, reliability, maintainability, operability, documentation, and evidence.</w:t>
            </w:r>
          </w:p>
        </w:tc>
        <w:tc>
          <w:tcPr>
            <w:tcW w:type="dxa" w:w="324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Review findings, severity, decisions, remediation, approval or rejection.</w:t>
            </w:r>
          </w:p>
        </w:tc>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Required findings are resolved, accepted through authority, or block progression.</w:t>
            </w:r>
          </w:p>
        </w:tc>
      </w:tr>
      <w:tr>
        <w:trPr>
          <w:cantSplit/>
        </w:trPr>
        <w:tc>
          <w:tcPr>
            <w:tcW w:type="dxa" w:w="10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Delivery</w:t>
            </w:r>
          </w:p>
        </w:tc>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Release, hand over, deploy, or otherwise place the deliverable into its intended use with operational readiness.</w:t>
            </w:r>
          </w:p>
        </w:tc>
        <w:tc>
          <w:tcPr>
            <w:tcW w:type="dxa" w:w="324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Release record, deployment evidence, handoff, runbooks, rollback/recovery, acceptance.</w:t>
            </w:r>
          </w:p>
        </w:tc>
        <w:tc>
          <w:tcPr>
            <w:tcW w:type="dxa" w:w="316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Delivery is confirmed within the authorized scope; production claims are evidence-backed.</w:t>
            </w:r>
          </w:p>
        </w:tc>
      </w:tr>
      <w:tr>
        <w:trPr>
          <w:cantSplit/>
        </w:trPr>
        <w:tc>
          <w:tcPr>
            <w:tcW w:type="dxa" w:w="10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Learning</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Capture outcomes, defects, friction, reusable patterns, and changes needed in KEP or the product.</w:t>
            </w:r>
          </w:p>
        </w:tc>
        <w:tc>
          <w:tcPr>
            <w:tcW w:type="dxa" w:w="324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Retrospective, lessons, platform proposals, updated knowledge, metrics.</w:t>
            </w:r>
          </w:p>
        </w:tc>
        <w:tc>
          <w:tcPr>
            <w:tcW w:type="dxa" w:w="31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Lessons have owners and disposition: product-local, platform candidate, action, or no change.</w:t>
            </w:r>
          </w:p>
        </w:tc>
      </w:tr>
    </w:tbl>
    <w:p>
      <w:pPr>
        <w:spacing w:after="40"/>
        <w:widowControl w:val="true"/>
      </w:pPr>
    </w:p>
    <w:p>
      <w:pPr>
        <w:pStyle w:val="Heading2"/>
        <w:keepNext/>
        <w:widowControl w:val="true"/>
      </w:pPr>
      <w:r>
        <w:rPr>
          <w:rFonts w:ascii="Liberation Sans" w:hAnsi="Liberation Sans" w:eastAsia="Liberation Sans"/>
        </w:rPr>
        <w:t>9.1 Lifecycle Control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Each material change SHALL have a current lifecycle state and accountable owner.</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downstream stage MAY reveal the need to revisit an upstream stage; the resulting change SHALL be reflected in the authoritative artifacts.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Execution SHALL NOT redefine requirements or architecture silently.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Verification SHALL report not-run, blocked, or not-applicable checks distinctly from passed checks.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Delivery SHALL NOT be equated with completion when operational handoff, acceptance, or learning obligations remain open.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lifecycle MAY be proportionally compressed for low-risk work, but intent, scope, evidence, and accountability SHALL remain explicit.</w:t>
      </w:r>
    </w:p>
    <w:p>
      <w:pPr>
        <w:pStyle w:val="Heading1"/>
        <w:keepNext/>
        <w:widowControl w:val="true"/>
      </w:pPr>
      <w:r>
        <w:rPr>
          <w:rFonts w:ascii="Liberation Sans" w:hAnsi="Liberation Sans" w:eastAsia="Liberation Sans"/>
        </w:rPr>
        <w:t>10. Product-to-Platform Feedback Loop</w:t>
      </w:r>
    </w:p>
    <w:p>
      <w:pPr>
        <w:spacing w:after="100" w:line="269" w:lineRule="auto"/>
        <w:widowControl w:val="true"/>
      </w:pPr>
      <w:r>
        <w:rPr>
          <w:rFonts w:ascii="Liberation Sans" w:hAnsi="Liberation Sans" w:eastAsia="Liberation Sans"/>
          <w:i w:val="0"/>
        </w:rPr>
        <w:t>Every product that uses KEP is both a consumer and a source of platform learning. Product experience SHALL improve KEP only through a controlled promotion process that prevents product-specific assumptions from becoming platform obligations.</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1.</w:t>
        <w:tab/>
      </w:r>
      <w:r>
        <w:rPr>
          <w:rFonts w:ascii="Liberation Sans" w:hAnsi="Liberation Sans" w:eastAsia="Liberation Sans"/>
          <w:b w:val="0"/>
          <w:i w:val="0"/>
        </w:rPr>
        <w:t>Observe: identify recurring friction, defect patterns, duplicated work, successful practices, missing controls, or capability gaps.</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2.</w:t>
        <w:tab/>
      </w:r>
      <w:r>
        <w:rPr>
          <w:rFonts w:ascii="Liberation Sans" w:hAnsi="Liberation Sans" w:eastAsia="Liberation Sans"/>
          <w:b w:val="0"/>
          <w:i w:val="0"/>
        </w:rPr>
        <w:t>Capture: record the context, product impact, evidence, constraints, and current workaround in the product repository or approved system.</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3.</w:t>
        <w:tab/>
      </w:r>
      <w:r>
        <w:rPr>
          <w:rFonts w:ascii="Liberation Sans" w:hAnsi="Liberation Sans" w:eastAsia="Liberation Sans"/>
          <w:b w:val="0"/>
          <w:i w:val="0"/>
        </w:rPr>
        <w:t>Classify: determine whether the lesson is product-local, domain-shared, or a KEP platform candidate.</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4.</w:t>
        <w:tab/>
      </w:r>
      <w:r>
        <w:rPr>
          <w:rFonts w:ascii="Liberation Sans" w:hAnsi="Liberation Sans" w:eastAsia="Liberation Sans"/>
          <w:b w:val="0"/>
          <w:i w:val="0"/>
        </w:rPr>
        <w:t>Validate: test whether the lesson generalizes beyond the originating product and whether its benefits exceed platform cost and coupling.</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5.</w:t>
        <w:tab/>
      </w:r>
      <w:r>
        <w:rPr>
          <w:rFonts w:ascii="Liberation Sans" w:hAnsi="Liberation Sans" w:eastAsia="Liberation Sans"/>
          <w:b w:val="0"/>
          <w:i w:val="0"/>
        </w:rPr>
        <w:t>Design: define the smallest coherent platform change, its owner, interface, compatibility, verification, and retirement conditions.</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6.</w:t>
        <w:tab/>
      </w:r>
      <w:r>
        <w:rPr>
          <w:rFonts w:ascii="Liberation Sans" w:hAnsi="Liberation Sans" w:eastAsia="Liberation Sans"/>
          <w:b w:val="0"/>
          <w:i w:val="0"/>
        </w:rPr>
        <w:t>Approve: apply the appropriate governance and architecture decision rights.</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7.</w:t>
        <w:tab/>
      </w:r>
      <w:r>
        <w:rPr>
          <w:rFonts w:ascii="Liberation Sans" w:hAnsi="Liberation Sans" w:eastAsia="Liberation Sans"/>
          <w:b w:val="0"/>
          <w:i w:val="0"/>
        </w:rPr>
        <w:t>Package and release: publish the change as a versioned policy, contract, skill, playbook, template, verification rule, CLI capability, or agent-layer artifact.</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8.</w:t>
        <w:tab/>
      </w:r>
      <w:r>
        <w:rPr>
          <w:rFonts w:ascii="Liberation Sans" w:hAnsi="Liberation Sans" w:eastAsia="Liberation Sans"/>
          <w:b w:val="0"/>
          <w:i w:val="0"/>
        </w:rPr>
        <w:t>Adopt: allow products to consume the capability through an explicit versioned adoption process.</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9.</w:t>
        <w:tab/>
      </w:r>
      <w:r>
        <w:rPr>
          <w:rFonts w:ascii="Liberation Sans" w:hAnsi="Liberation Sans" w:eastAsia="Liberation Sans"/>
          <w:b w:val="0"/>
          <w:i w:val="0"/>
        </w:rPr>
        <w:t>Measure: compare expected and actual value, including delivery speed, defects, cognitive load, support cost, and exceptions.</w:t>
      </w:r>
    </w:p>
    <w:p>
      <w:pPr>
        <w:pStyle w:val="KEPNumber"/>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10.</w:t>
        <w:tab/>
      </w:r>
      <w:r>
        <w:rPr>
          <w:rFonts w:ascii="Liberation Sans" w:hAnsi="Liberation Sans" w:eastAsia="Liberation Sans"/>
          <w:b w:val="0"/>
          <w:i w:val="0"/>
        </w:rPr>
        <w:t>Learn again: refine, deprecate, or retire the capability based on evidence.</w:t>
      </w:r>
    </w:p>
    <w:p>
      <w:pPr>
        <w:pStyle w:val="Heading2"/>
        <w:keepNext/>
        <w:widowControl w:val="true"/>
      </w:pPr>
      <w:r>
        <w:rPr>
          <w:rFonts w:ascii="Liberation Sans" w:hAnsi="Liberation Sans" w:eastAsia="Liberation Sans"/>
        </w:rPr>
        <w:t>10.1 Promotion Criteria</w:t>
      </w:r>
    </w:p>
    <w:p>
      <w:pPr>
        <w:spacing w:after="100" w:line="269" w:lineRule="auto"/>
        <w:widowControl w:val="true"/>
      </w:pPr>
      <w:r>
        <w:rPr>
          <w:rFonts w:ascii="Liberation Sans" w:hAnsi="Liberation Sans" w:eastAsia="Liberation Sans"/>
          <w:i w:val="0"/>
        </w:rPr>
        <w:t>A product-originated capability SHOULD be promoted to KEP only when: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problem is demonstrably cross-product or cross-context, or the risk of inconsistency justifies centralized governance.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proposed abstraction can be expressed without importing product-domain meaning.</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capability has a defined owner, consumers, support model, versioning approach, and success measure.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capability reduces total system cost or risk rather than shifting cost from one product to the platform.</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capability does not create hidden runtime, release, data, security, or organizational coupling.</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capability has evidence from representative use or a time-bounded incubation plan.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product-local extension remains possible when legitimate product constraints differ.</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FFF2CC"/>
            <w:tcMar>
              <w:top w:w="150" w:type="dxa"/>
              <w:start w:w="180" w:type="dxa"/>
              <w:bottom w:w="150" w:type="dxa"/>
              <w:end w:w="180" w:type="dxa"/>
            </w:tcMar>
          </w:tcPr>
          <w:p>
            <w:pPr>
              <w:spacing w:after="80"/>
            </w:pPr>
            <w:r>
              <w:rPr>
                <w:rFonts w:ascii="Liberation Sans" w:hAnsi="Liberation Sans" w:eastAsia="Liberation Sans"/>
                <w:b/>
                <w:i w:val="0"/>
                <w:color w:val="17365D"/>
                <w:sz w:val="21"/>
              </w:rPr>
              <w:t>Default presumption</w:t>
            </w:r>
          </w:p>
          <w:p>
            <w:pPr>
              <w:spacing w:after="0" w:line="259" w:lineRule="auto"/>
            </w:pPr>
            <w:r>
              <w:rPr>
                <w:rFonts w:ascii="Liberation Sans" w:hAnsi="Liberation Sans" w:eastAsia="Liberation Sans"/>
                <w:b w:val="0"/>
                <w:i w:val="0"/>
                <w:color w:val="1F2937"/>
                <w:sz w:val="19"/>
              </w:rPr>
              <w:t>New or uncertain abstractions remain product-local until reuse is earned. Early centralization requires explicit risk or governance justification.</w:t>
            </w:r>
          </w:p>
        </w:tc>
      </w:tr>
    </w:tbl>
    <w:p>
      <w:pPr>
        <w:spacing w:after="40"/>
        <w:widowControl w:val="true"/>
      </w:pPr>
    </w:p>
    <w:p>
      <w:pPr>
        <w:pStyle w:val="Heading1"/>
        <w:keepNext/>
        <w:widowControl w:val="true"/>
      </w:pPr>
      <w:r>
        <w:rPr>
          <w:rFonts w:ascii="Liberation Sans" w:hAnsi="Liberation Sans" w:eastAsia="Liberation Sans"/>
        </w:rPr>
        <w:t>11. Platform Ownership and Decision Rights</w:t>
      </w:r>
    </w:p>
    <w:p>
      <w:pPr>
        <w:spacing w:after="100" w:line="269" w:lineRule="auto"/>
        <w:widowControl w:val="true"/>
      </w:pPr>
      <w:r>
        <w:rPr>
          <w:rFonts w:ascii="Liberation Sans" w:hAnsi="Liberation Sans" w:eastAsia="Liberation Sans"/>
          <w:i w:val="0"/>
        </w:rPr>
        <w:t>KEP SHALL assign accountable ownership for every material subsystem, platform capability, repository, release, and operational process. Role definitions are normative; named assignments are unresolved until ratification or a separate ownership record is approved.</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5040"/>
        <w:gridCol w:w="5040"/>
      </w:tblGrid>
      <w:tr>
        <w:trPr>
          <w:tblHeader w:val="true"/>
        </w:trPr>
        <w:tc>
          <w:tcPr>
            <w:tcW w:type="dxa" w:w="288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Role</w:t>
            </w:r>
          </w:p>
        </w:tc>
        <w:tc>
          <w:tcPr>
            <w:tcW w:type="dxa" w:w="684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Decision accountability</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Founding Authority</w:t>
            </w:r>
          </w:p>
        </w:tc>
        <w:tc>
          <w:tcPr>
            <w:tcW w:type="dxa" w:w="6840"/>
            <w:tcMar>
              <w:top w:w="80" w:type="dxa"/>
              <w:start w:w="90" w:type="dxa"/>
              <w:bottom w:w="80" w:type="dxa"/>
              <w:end w:w="90" w:type="dxa"/>
            </w:tcMar>
            <w:vAlign w:val="top"/>
          </w:tcPr>
          <w:p>
            <w:r/>
            <w:r>
              <w:rPr>
                <w:b w:val="0"/>
              </w:rPr>
              <w:t>Kashif Muhammad Younus. Owns constitutional direction, ratification of foundational documents, and appointment or recognition of the Platform Owner.</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Platform Owner</w:t>
            </w:r>
          </w:p>
        </w:tc>
        <w:tc>
          <w:tcPr>
            <w:tcW w:type="dxa" w:w="6840"/>
            <w:tcMar>
              <w:top w:w="80" w:type="dxa"/>
              <w:start w:w="90" w:type="dxa"/>
              <w:bottom w:w="80" w:type="dxa"/>
              <w:end w:w="90" w:type="dxa"/>
            </w:tcMar>
            <w:shd w:fill="F5F6F8"/>
            <w:vAlign w:val="top"/>
          </w:tcPr>
          <w:p>
            <w:r/>
            <w:r>
              <w:rPr>
                <w:b w:val="0"/>
              </w:rPr>
              <w:t>Kashif Muhammad Younus. Accountable for KEP scope, coherence, roadmap, funding priority, platform outcomes, and delegation of subsystem ownership.</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Governance Steward</w:t>
            </w:r>
          </w:p>
        </w:tc>
        <w:tc>
          <w:tcPr>
            <w:tcW w:type="dxa" w:w="6840"/>
            <w:tcMar>
              <w:top w:w="80" w:type="dxa"/>
              <w:start w:w="90" w:type="dxa"/>
              <w:bottom w:w="80" w:type="dxa"/>
              <w:end w:w="90" w:type="dxa"/>
            </w:tcMar>
            <w:vAlign w:val="top"/>
          </w:tcPr>
          <w:p>
            <w:r/>
            <w:r>
              <w:rPr>
                <w:b w:val="0"/>
              </w:rPr>
              <w:t>Kashif Muhammad Younus. Maintains governance artifacts, precedence, policy lifecycle, exceptions, review schedule, and decision records.</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Platform Architecture Authority</w:t>
            </w:r>
          </w:p>
        </w:tc>
        <w:tc>
          <w:tcPr>
            <w:tcW w:type="dxa" w:w="6840"/>
            <w:tcMar>
              <w:top w:w="80" w:type="dxa"/>
              <w:start w:w="90" w:type="dxa"/>
              <w:bottom w:w="80" w:type="dxa"/>
              <w:end w:w="90" w:type="dxa"/>
            </w:tcMar>
            <w:shd w:fill="F5F6F8"/>
            <w:vAlign w:val="top"/>
          </w:tcPr>
          <w:p>
            <w:r/>
            <w:r>
              <w:rPr>
                <w:b w:val="0"/>
              </w:rPr>
              <w:t>Kashif Muhammad Younus, supported by the designated CTO architecture-review function. Approves material platform architecture and shared capability boundaries; maintains architecture standards.</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Subsystem or Capability Owner</w:t>
            </w:r>
          </w:p>
        </w:tc>
        <w:tc>
          <w:tcPr>
            <w:tcW w:type="dxa" w:w="684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Owns capability lifecycle, consumers, backlog, versioning, quality, support, metrics, deprecation, and retirement.</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Quality Gate Authority</w:t>
            </w:r>
          </w:p>
        </w:tc>
        <w:tc>
          <w:tcPr>
            <w:tcW w:type="dxa" w:w="6840"/>
            <w:tcMar>
              <w:top w:w="80" w:type="dxa"/>
              <w:start w:w="90" w:type="dxa"/>
              <w:bottom w:w="80" w:type="dxa"/>
              <w:end w:w="90" w:type="dxa"/>
            </w:tcMar>
            <w:shd w:fill="F5F6F8"/>
            <w:vAlign w:val="top"/>
          </w:tcPr>
          <w:p>
            <w:r/>
            <w:r>
              <w:rPr>
                <w:b w:val="0"/>
              </w:rPr>
              <w:t>Kashif Muhammad Younus. Defines or approves gate applicability and accepts or rejects gate exceptions within delegated authority.</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Product Owner</w:t>
            </w:r>
          </w:p>
        </w:tc>
        <w:tc>
          <w:tcPr>
            <w:tcW w:type="dxa" w:w="684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Owns product intent, product scope, business requirements, product acceptance, and product risk within delegated authority.</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Product Technical Owner</w:t>
            </w:r>
          </w:p>
        </w:tc>
        <w:tc>
          <w:tcPr>
            <w:tcW w:type="dxa" w:w="684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Owns product architecture, engineering execution, technical risk, repository conformance, and operational readiness.</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Release Authority</w:t>
            </w:r>
          </w:p>
        </w:tc>
        <w:tc>
          <w:tcPr>
            <w:tcW w:type="dxa" w:w="6840"/>
            <w:tcMar>
              <w:top w:w="80" w:type="dxa"/>
              <w:start w:w="90" w:type="dxa"/>
              <w:bottom w:w="80" w:type="dxa"/>
              <w:end w:w="90" w:type="dxa"/>
            </w:tcMar>
            <w:vAlign w:val="top"/>
          </w:tcPr>
          <w:p>
            <w:r/>
            <w:r>
              <w:rPr>
                <w:b w:val="0"/>
              </w:rPr>
              <w:t>For platform releases, Kashif Muhammad Younus acts as Platform Release Authority. Product release authority remains assigned by each product.</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Contributor or Agent</w:t>
            </w:r>
          </w:p>
        </w:tc>
        <w:tc>
          <w:tcPr>
            <w:tcW w:type="dxa" w:w="684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Performs bounded work, produces evidence, declares uncertainty, and escalates decisions outside assigned authority.</w:t>
            </w:r>
          </w:p>
        </w:tc>
      </w:tr>
    </w:tbl>
    <w:p>
      <w:pPr>
        <w:spacing w:after="40"/>
        <w:widowControl w:val="true"/>
      </w:pPr>
    </w:p>
    <w:p>
      <w:pPr>
        <w:pStyle w:val="Heading2"/>
        <w:keepNext/>
        <w:widowControl w:val="true"/>
      </w:pPr>
      <w:r>
        <w:rPr>
          <w:rFonts w:ascii="Liberation Sans" w:hAnsi="Liberation Sans" w:eastAsia="Liberation Sans"/>
        </w:rPr>
        <w:t>11.1 Decision Rights Matrix</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2520"/>
        <w:gridCol w:w="2520"/>
        <w:gridCol w:w="2520"/>
        <w:gridCol w:w="2520"/>
      </w:tblGrid>
      <w:tr>
        <w:trPr>
          <w:tblHeader w:val="true"/>
        </w:trPr>
        <w:tc>
          <w:tcPr>
            <w:tcW w:type="dxa" w:w="2592"/>
            <w:shd w:fill="17365D"/>
            <w:tcMar>
              <w:top w:w="100" w:type="dxa"/>
              <w:start w:w="90" w:type="dxa"/>
              <w:bottom w:w="100" w:type="dxa"/>
              <w:end w:w="90" w:type="dxa"/>
            </w:tcMar>
          </w:tcPr>
          <w:p>
            <w:pPr>
              <w:spacing w:after="0"/>
              <w:jc w:val="left"/>
            </w:pPr>
            <w:r>
              <w:rPr>
                <w:rFonts w:ascii="Liberation Sans" w:hAnsi="Liberation Sans" w:eastAsia="Liberation Sans"/>
                <w:b/>
                <w:color w:val="FFFFFF"/>
                <w:sz w:val="14"/>
              </w:rPr>
              <w:t>Decision</w:t>
            </w:r>
          </w:p>
        </w:tc>
        <w:tc>
          <w:tcPr>
            <w:tcW w:type="dxa" w:w="2232"/>
            <w:shd w:fill="17365D"/>
            <w:tcMar>
              <w:top w:w="100" w:type="dxa"/>
              <w:start w:w="90" w:type="dxa"/>
              <w:bottom w:w="100" w:type="dxa"/>
              <w:end w:w="90" w:type="dxa"/>
            </w:tcMar>
          </w:tcPr>
          <w:p>
            <w:pPr>
              <w:spacing w:after="0"/>
              <w:jc w:val="left"/>
            </w:pPr>
            <w:r>
              <w:rPr>
                <w:rFonts w:ascii="Liberation Sans" w:hAnsi="Liberation Sans" w:eastAsia="Liberation Sans"/>
                <w:b/>
                <w:color w:val="FFFFFF"/>
                <w:sz w:val="14"/>
              </w:rPr>
              <w:t>Accountable authority</w:t>
            </w:r>
          </w:p>
        </w:tc>
        <w:tc>
          <w:tcPr>
            <w:tcW w:type="dxa" w:w="2664"/>
            <w:shd w:fill="17365D"/>
            <w:tcMar>
              <w:top w:w="100" w:type="dxa"/>
              <w:start w:w="90" w:type="dxa"/>
              <w:bottom w:w="100" w:type="dxa"/>
              <w:end w:w="90" w:type="dxa"/>
            </w:tcMar>
          </w:tcPr>
          <w:p>
            <w:pPr>
              <w:spacing w:after="0"/>
              <w:jc w:val="left"/>
            </w:pPr>
            <w:r>
              <w:rPr>
                <w:rFonts w:ascii="Liberation Sans" w:hAnsi="Liberation Sans" w:eastAsia="Liberation Sans"/>
                <w:b/>
                <w:color w:val="FFFFFF"/>
                <w:sz w:val="14"/>
              </w:rPr>
              <w:t>Required consultation</w:t>
            </w:r>
          </w:p>
        </w:tc>
        <w:tc>
          <w:tcPr>
            <w:tcW w:type="dxa" w:w="2376"/>
            <w:shd w:fill="17365D"/>
            <w:tcMar>
              <w:top w:w="100" w:type="dxa"/>
              <w:start w:w="90" w:type="dxa"/>
              <w:bottom w:w="100" w:type="dxa"/>
              <w:end w:w="90" w:type="dxa"/>
            </w:tcMar>
          </w:tcPr>
          <w:p>
            <w:pPr>
              <w:spacing w:after="0"/>
              <w:jc w:val="left"/>
            </w:pPr>
            <w:r>
              <w:rPr>
                <w:rFonts w:ascii="Liberation Sans" w:hAnsi="Liberation Sans" w:eastAsia="Liberation Sans"/>
                <w:b/>
                <w:color w:val="FFFFFF"/>
                <w:sz w:val="14"/>
              </w:rPr>
              <w:t>Boundary</w:t>
            </w:r>
          </w:p>
        </w:tc>
      </w:tr>
      <w:tr>
        <w:trPr>
          <w:cantSplit/>
        </w:trPr>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4"/>
              </w:rPr>
              <w:t>KEP mission, constitutional principles, or authority precedence</w:t>
            </w:r>
          </w:p>
        </w:tc>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Founding Authority</w:t>
            </w:r>
          </w:p>
        </w:tc>
        <w:tc>
          <w:tcPr>
            <w:tcW w:type="dxa" w:w="2664"/>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Platform Owner; Governance Steward</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Requires constitutional amendment under KEP-000.</w:t>
            </w:r>
          </w:p>
        </w:tc>
      </w:tr>
      <w:tr>
        <w:trPr>
          <w:cantSplit/>
        </w:trPr>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4"/>
              </w:rPr>
              <w:t>KEP-001 ratification or material amendment</w:t>
            </w:r>
          </w:p>
        </w:tc>
        <w:tc>
          <w:tcPr>
            <w:tcW w:type="dxa" w:w="2232"/>
            <w:tcMar>
              <w:top w:w="80" w:type="dxa"/>
              <w:start w:w="90" w:type="dxa"/>
              <w:bottom w:w="80" w:type="dxa"/>
              <w:end w:w="90" w:type="dxa"/>
            </w:tcMar>
            <w:shd w:fill="F5F6F8"/>
            <w:vAlign w:val="top"/>
          </w:tcPr>
          <w:p>
            <w:r/>
            <w:r>
              <w:rPr>
                <w:b w:val="0"/>
              </w:rPr>
              <w:t>Founding Authority: Kashif Muhammad Younus</w:t>
            </w:r>
          </w:p>
        </w:tc>
        <w:tc>
          <w:tcPr>
            <w:tcW w:type="dxa" w:w="2664"/>
            <w:tcMar>
              <w:top w:w="80" w:type="dxa"/>
              <w:start w:w="90" w:type="dxa"/>
              <w:bottom w:w="80" w:type="dxa"/>
              <w:end w:w="90" w:type="dxa"/>
            </w:tcMar>
            <w:shd w:fill="F5F6F8"/>
            <w:vAlign w:val="top"/>
          </w:tcPr>
          <w:p>
            <w:r/>
            <w:r>
              <w:rPr>
                <w:b w:val="0"/>
              </w:rPr>
              <w:t>Platform Owner; Governance Steward; Platform Architecture Authority</w:t>
            </w:r>
          </w:p>
        </w:tc>
        <w:tc>
          <w:tcPr>
            <w:tcW w:type="dxa" w:w="2376"/>
            <w:tcMar>
              <w:top w:w="80" w:type="dxa"/>
              <w:start w:w="90" w:type="dxa"/>
              <w:bottom w:w="80" w:type="dxa"/>
              <w:end w:w="90" w:type="dxa"/>
            </w:tcMar>
            <w:shd w:fill="F5F6F8"/>
            <w:vAlign w:val="top"/>
          </w:tcPr>
          <w:p>
            <w:r/>
            <w:r>
              <w:rPr>
                <w:b w:val="0"/>
              </w:rPr>
              <w:t>Material amendment follows the change classification and authority rules in Section 20.</w:t>
            </w:r>
          </w:p>
        </w:tc>
      </w:tr>
      <w:tr>
        <w:trPr>
          <w:cantSplit/>
        </w:trPr>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4"/>
              </w:rPr>
              <w:t>Platform scope and subsystem boundary</w:t>
            </w:r>
          </w:p>
        </w:tc>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Platform Owner</w:t>
            </w:r>
          </w:p>
        </w:tc>
        <w:tc>
          <w:tcPr>
            <w:tcW w:type="dxa" w:w="2664"/>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Governance Steward; Architecture Authority; affected Capability Owners</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Material expansion requires recorded decision and impact analysis.</w:t>
            </w:r>
          </w:p>
        </w:tc>
      </w:tr>
      <w:tr>
        <w:trPr>
          <w:cantSplit/>
        </w:trPr>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4"/>
              </w:rPr>
              <w:t>Platform architecture standard</w:t>
            </w:r>
          </w:p>
        </w:tc>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Platform Architecture Authority</w:t>
            </w:r>
          </w:p>
        </w:tc>
        <w:tc>
          <w:tcPr>
            <w:tcW w:type="dxa" w:w="2664"/>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Platform Owner; Capability Owners; affected Product Technical Owners</w:t>
            </w:r>
          </w:p>
        </w:tc>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May be advisory or mandatory depending on classification.</w:t>
            </w:r>
          </w:p>
        </w:tc>
      </w:tr>
      <w:tr>
        <w:trPr>
          <w:cantSplit/>
        </w:trPr>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4"/>
              </w:rPr>
              <w:t>Capability promotion into KEP</w:t>
            </w:r>
          </w:p>
        </w:tc>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Platform Owner or delegated portfolio authority</w:t>
            </w:r>
          </w:p>
        </w:tc>
        <w:tc>
          <w:tcPr>
            <w:tcW w:type="dxa" w:w="2664"/>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Architecture Authority; Capability Owner; originating Product Owner</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Must satisfy Section 10 and Section 17 criteria.</w:t>
            </w:r>
          </w:p>
        </w:tc>
      </w:tr>
      <w:tr>
        <w:trPr>
          <w:cantSplit/>
        </w:trPr>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4"/>
              </w:rPr>
              <w:t>Product-domain requirement and acceptance</w:t>
            </w:r>
          </w:p>
        </w:tc>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Product Owner</w:t>
            </w:r>
          </w:p>
        </w:tc>
        <w:tc>
          <w:tcPr>
            <w:tcW w:type="dxa" w:w="2664"/>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Product Technical Owner; domain authorities</w:t>
            </w:r>
          </w:p>
        </w:tc>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KEP does not assume this authority.</w:t>
            </w:r>
          </w:p>
        </w:tc>
      </w:tr>
      <w:tr>
        <w:trPr>
          <w:cantSplit/>
        </w:trPr>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4"/>
              </w:rPr>
              <w:t>Product architecture decision</w:t>
            </w:r>
          </w:p>
        </w:tc>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Product Technical Owner within policy</w:t>
            </w:r>
          </w:p>
        </w:tc>
        <w:tc>
          <w:tcPr>
            <w:tcW w:type="dxa" w:w="2664"/>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Product Owner; architects; security/operations as applicable</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Escalate conflicts with mandatory KEP standards.</w:t>
            </w:r>
          </w:p>
        </w:tc>
      </w:tr>
      <w:tr>
        <w:trPr>
          <w:cantSplit/>
        </w:trPr>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4"/>
              </w:rPr>
              <w:t>Exception to mandatory KEP rule</w:t>
            </w:r>
          </w:p>
        </w:tc>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Authority named by the rule or exception policy</w:t>
            </w:r>
          </w:p>
        </w:tc>
        <w:tc>
          <w:tcPr>
            <w:tcW w:type="dxa" w:w="2664"/>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Governance Steward; risk owner; Quality Gate Authority</w:t>
            </w:r>
          </w:p>
        </w:tc>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Must include scope, risk, compensating controls, owner, and review/expiry.</w:t>
            </w:r>
          </w:p>
        </w:tc>
      </w:tr>
      <w:tr>
        <w:trPr>
          <w:cantSplit/>
        </w:trPr>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4"/>
              </w:rPr>
              <w:t>Platform release</w:t>
            </w:r>
          </w:p>
        </w:tc>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Platform Release Authority or Platform Owner</w:t>
            </w:r>
          </w:p>
        </w:tc>
        <w:tc>
          <w:tcPr>
            <w:tcW w:type="dxa" w:w="2664"/>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Capability Owners; Governance; Architecture; Quality</w:t>
            </w:r>
          </w:p>
        </w:tc>
        <w:tc>
          <w:tcPr>
            <w:tcW w:type="dxa" w:w="237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4"/>
              </w:rPr>
              <w:t>Exact release role assignment is unresolved.</w:t>
            </w:r>
          </w:p>
        </w:tc>
      </w:tr>
      <w:tr>
        <w:trPr>
          <w:cantSplit/>
        </w:trPr>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4"/>
              </w:rPr>
              <w:t>Product release</w:t>
            </w:r>
          </w:p>
        </w:tc>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Product Release Authority</w:t>
            </w:r>
          </w:p>
        </w:tc>
        <w:tc>
          <w:tcPr>
            <w:tcW w:type="dxa" w:w="2664"/>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Product Owner; Product Technical Owner; Quality/Operations</w:t>
            </w:r>
          </w:p>
        </w:tc>
        <w:tc>
          <w:tcPr>
            <w:tcW w:type="dxa" w:w="237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4"/>
              </w:rPr>
              <w:t>Subject to product and adopted KEP gates.</w:t>
            </w:r>
          </w:p>
        </w:tc>
      </w:tr>
    </w:tbl>
    <w:p>
      <w:pPr>
        <w:spacing w:after="40"/>
        <w:widowControl w:val="true"/>
      </w:pPr>
    </w:p>
    <w:p>
      <w:pPr>
        <w:pStyle w:val="Heading2"/>
        <w:keepNext/>
        <w:widowControl w:val="true"/>
      </w:pPr>
      <w:r>
        <w:rPr>
          <w:rFonts w:ascii="Liberation Sans" w:hAnsi="Liberation Sans" w:eastAsia="Liberation Sans"/>
        </w:rPr>
        <w:t>11.2 Decision Integrity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Advisory input SHALL NOT be represented as approval.</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AI-generated recommendations SHALL NOT substitute for accountable human approval of material business, architecture, security, or release decisions.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An authority MAY delegate execution but SHALL retain accountability unless a formal transfer is recorded.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Where roles conflict, authority precedence and conflict-of-interest controls SHALL be applied; the detailed conflict policy is unresolved.</w:t>
      </w:r>
    </w:p>
    <w:p>
      <w:pPr>
        <w:pStyle w:val="Heading1"/>
        <w:keepNext/>
        <w:widowControl w:val="true"/>
      </w:pPr>
      <w:r>
        <w:rPr>
          <w:rFonts w:ascii="Liberation Sans" w:hAnsi="Liberation Sans" w:eastAsia="Liberation Sans"/>
        </w:rPr>
        <w:t>12. Explicit Non-Goals and Exclusions</w:t>
      </w:r>
    </w:p>
    <w:p>
      <w:pPr>
        <w:spacing w:after="100" w:line="269" w:lineRule="auto"/>
        <w:widowControl w:val="true"/>
      </w:pPr>
      <w:r>
        <w:rPr>
          <w:rFonts w:ascii="Liberation Sans" w:hAnsi="Liberation Sans" w:eastAsia="Liberation Sans"/>
          <w:i w:val="0"/>
        </w:rPr>
        <w:t>The following are outside the KEP mandate unless a future ratified amendment or approved platform capability explicitly changes the boundary: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Creating or owning product-specific business rules, product workflows, product data models, user policies, or domain decisions.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Forcing all products into one repository, language, framework, architecture style, operating system, cloud, repository host, CI/CD system, or coding agent.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Operating as the default production runtime, identity provider, data platform, observability backend, or integration hub for every product.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Replacing product management, portfolio management, financial management, legal counsel, regulatory interpretation, security assurance, or organizational leadership.</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Guaranteeing correctness, security, compliance, reliability, performance, or market outcomes solely through conformance artifacts.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Automating high-impact decisions without designated human accountability and evidence.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Building shared components in anticipation of hypothetical reuse without validated demand.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Migrating existing products through mandatory rewrites solely to satisfy preferred structure.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Accumulating every prompt, script, checklist, or document as a permanent KEP asset.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Creating process steps that exist only to satisfy documentation appearance or metric targets.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Centralizing confidential product data unless an approved platform service requires it and establishes explicit data ownership, security, retention, and exit controls.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Certifying third-party standards compliance unless an authorized certification program is separately established.</w:t>
      </w:r>
    </w:p>
    <w:p>
      <w:pPr>
        <w:pStyle w:val="Heading2"/>
        <w:keepNext/>
        <w:widowControl w:val="true"/>
      </w:pPr>
      <w:r>
        <w:rPr>
          <w:rFonts w:ascii="Liberation Sans" w:hAnsi="Liberation Sans" w:eastAsia="Liberation Sans"/>
        </w:rPr>
        <w:t>12.1 Exclusion Handling</w:t>
      </w:r>
    </w:p>
    <w:p>
      <w:pPr>
        <w:spacing w:after="100" w:line="269" w:lineRule="auto"/>
        <w:widowControl w:val="true"/>
      </w:pPr>
      <w:r>
        <w:rPr>
          <w:rFonts w:ascii="Liberation Sans" w:hAnsi="Liberation Sans" w:eastAsia="Liberation Sans"/>
          <w:i w:val="0"/>
        </w:rPr>
        <w:t>When a requested capability falls outside KEP, the disposition SHALL be one of: retain in the product repository; establish a domain platform under separate governance; integrate through a KEP-defined extension point; or propose a formal KEP scope amendment supported by evidence.</w:t>
      </w:r>
    </w:p>
    <w:p>
      <w:pPr>
        <w:pStyle w:val="Heading1"/>
        <w:keepNext/>
        <w:widowControl w:val="true"/>
      </w:pPr>
      <w:r>
        <w:rPr>
          <w:rFonts w:ascii="Liberation Sans" w:hAnsi="Liberation Sans" w:eastAsia="Liberation Sans"/>
        </w:rPr>
        <w:t>13. KEP v0.1 Capability Boundary</w:t>
      </w:r>
    </w:p>
    <w:p>
      <w:pPr>
        <w:spacing w:after="100" w:line="269" w:lineRule="auto"/>
        <w:widowControl w:val="true"/>
      </w:pPr>
      <w:r>
        <w:rPr>
          <w:rFonts w:ascii="Liberation Sans" w:hAnsi="Liberation Sans" w:eastAsia="Liberation Sans"/>
          <w:i w:val="0"/>
        </w:rPr>
        <w:t>KEP v0.1 is the minimum viable governed platform foundation. Its purpose is to establish a coherent operating system for engineering work before expanding into broad automation or shared runtime services.</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EEF5FB"/>
            <w:tcMar>
              <w:top w:w="150" w:type="dxa"/>
              <w:start w:w="180" w:type="dxa"/>
              <w:bottom w:w="150" w:type="dxa"/>
              <w:end w:w="180" w:type="dxa"/>
            </w:tcMar>
          </w:tcPr>
          <w:p>
            <w:pPr>
              <w:spacing w:after="80"/>
            </w:pPr>
            <w:r>
              <w:rPr>
                <w:rFonts w:ascii="Liberation Sans" w:hAnsi="Liberation Sans" w:eastAsia="Liberation Sans"/>
                <w:b/>
                <w:i w:val="0"/>
                <w:color w:val="17365D"/>
                <w:sz w:val="21"/>
              </w:rPr>
              <w:t>v0.1 principle</w:t>
            </w:r>
          </w:p>
          <w:p>
            <w:pPr>
              <w:spacing w:after="0" w:line="259" w:lineRule="auto"/>
            </w:pPr>
            <w:r>
              <w:rPr>
                <w:rFonts w:ascii="Liberation Sans" w:hAnsi="Liberation Sans" w:eastAsia="Liberation Sans"/>
                <w:b w:val="0"/>
                <w:i w:val="0"/>
                <w:color w:val="1F2937"/>
                <w:sz w:val="19"/>
              </w:rPr>
              <w:t>v0.1 prioritizes governable contracts, usable knowledge, truthful verification, and product adoption over feature volume. It is a foundation, not the long-term endpoint.</w:t>
            </w:r>
          </w:p>
        </w:tc>
      </w:tr>
    </w:tbl>
    <w:p>
      <w:pPr>
        <w:spacing w:after="40"/>
        <w:widowControl w:val="true"/>
      </w:pPr>
    </w:p>
    <w:p>
      <w:pPr>
        <w:pStyle w:val="Heading2"/>
        <w:keepNext/>
        <w:widowControl w:val="true"/>
      </w:pPr>
      <w:r>
        <w:rPr>
          <w:rFonts w:ascii="Liberation Sans" w:hAnsi="Liberation Sans" w:eastAsia="Liberation Sans"/>
        </w:rPr>
        <w:t>13.1 Included in v0.1</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5040"/>
        <w:gridCol w:w="5040"/>
      </w:tblGrid>
      <w:tr>
        <w:trPr>
          <w:tblHeader w:val="true"/>
        </w:trPr>
        <w:tc>
          <w:tcPr>
            <w:tcW w:type="dxa" w:w="288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Capability</w:t>
            </w:r>
          </w:p>
        </w:tc>
        <w:tc>
          <w:tcPr>
            <w:tcW w:type="dxa" w:w="6912"/>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v0.1 boundary</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Governance baseline</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KEP-000 and KEP-001; document hierarchy; scope; ownership roles; decision records; exception structure; change and deprecation rules.</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Engineering contract baseline</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Standard structures for requirement, interface, data, security, operational, repository, and agent contracts; identifiers and traceability expectations.</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Architecture baseline</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Architecture principles, decision-record template, minimum architecture views, risk and quality-attribute prompts, and conformance review checklist.</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Knowledge Intelligence baseline</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Predictable knowledge taxonomy, authoritative-source manifest, context manifest, decision and lesson records, ownership metadata, and stale/conflict reporting rules.</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Initial skills</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Project initialization, intent clarification, requirement decomposition, architecture review, engineering contract creation, repository assessment, change review, verification planning, release readiness, and learning capture.</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Initial playbooks</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New-project initiation, existing-project adoption, material feature delivery, architecture decision, release readiness, incident learning, and platform capability promotion.</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Template baseline</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Charter/scope, requirements, acceptance criteria, ADR, engineering contract, repository rules, agent task envelope, verification plan/evidence, review finding, exception, adoption record, and retrospective.</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Operations CLI contract</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A minimal command surface for initialization, inventory, structural validation, traceability inspection, verification orchestration, gate status, and report output. The document defines semantics, not implementation code.</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Verification baseline</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Truthful result states; evidence metadata; structural and traceability checks; execution record; human review record; no fabricated pass claims.</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Quality Gate baseline</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Risk-proportional gates for scope/requirements, architecture where material, build/test, documentation synchronization, security checks where applicable, release readiness, and acceptance.</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Agent Operating Layer baseline</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Tool-neutral agent contract, context manifest, task envelope, action boundaries, prohibited actions, expected outputs, validation, evidence, escalation, and handoff.</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Product adoption mechanism</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Versioned adoption record, local rule overlay, exception register, migration status, and product-to-platform feedback channel.</w:t>
            </w:r>
          </w:p>
        </w:tc>
      </w:tr>
      <w:tr>
        <w:tc>
          <w:tcPr>
            <w:tcW w:type="dxa" w:w="5040"/>
          </w:tcPr>
          <w:p>
            <w:r/>
            <w:r>
              <w:rPr>
                <w:b w:val="0"/>
              </w:rPr>
              <w:t>Canonical repository</w:t>
            </w:r>
          </w:p>
        </w:tc>
        <w:tc>
          <w:tcPr>
            <w:tcW w:type="dxa" w:w="5040"/>
          </w:tcPr>
          <w:p>
            <w:r/>
            <w:r>
              <w:rPr>
                <w:b w:val="0"/>
              </w:rPr>
              <w:t>One canonical KEP repository with the approved logical structure. No v0.1 multi-repository split.</w:t>
            </w:r>
          </w:p>
        </w:tc>
      </w:tr>
      <w:tr>
        <w:tc>
          <w:tcPr>
            <w:tcW w:type="dxa" w:w="5040"/>
          </w:tcPr>
          <w:p>
            <w:r/>
            <w:r>
              <w:rPr>
                <w:b w:val="0"/>
              </w:rPr>
              <w:t>Artifact formats</w:t>
            </w:r>
          </w:p>
        </w:tc>
        <w:tc>
          <w:tcPr>
            <w:tcW w:type="dxa" w:w="5040"/>
          </w:tcPr>
          <w:p>
            <w:r/>
            <w:r>
              <w:rPr>
                <w:b w:val="0"/>
              </w:rPr>
              <w:t>Markdown for human-readable normative artifacts; JSON or YAML with versioned JSON Schema for machine-readable normative artifacts; authority declared per artifact class and synchronization validated.</w:t>
            </w:r>
          </w:p>
        </w:tc>
      </w:tr>
      <w:tr>
        <w:tc>
          <w:tcPr>
            <w:tcW w:type="dxa" w:w="5040"/>
          </w:tcPr>
          <w:p>
            <w:r/>
            <w:r>
              <w:rPr>
                <w:b w:val="0"/>
              </w:rPr>
              <w:t>Validation contexts</w:t>
            </w:r>
          </w:p>
        </w:tc>
        <w:tc>
          <w:tcPr>
            <w:tcW w:type="dxa" w:w="5040"/>
          </w:tcPr>
          <w:p>
            <w:r/>
            <w:r>
              <w:rPr>
                <w:b w:val="0"/>
              </w:rPr>
              <w:t>Metro-X Precision as primary validation product and one technically different secondary adoption context before general KEP v1.0 release.</w:t>
            </w:r>
          </w:p>
        </w:tc>
      </w:tr>
      <w:tr>
        <w:tc>
          <w:tcPr>
            <w:tcW w:type="dxa" w:w="5040"/>
          </w:tcPr>
          <w:p>
            <w:r/>
            <w:r>
              <w:rPr>
                <w:b w:val="0"/>
              </w:rPr>
              <w:t>Risk model</w:t>
            </w:r>
          </w:p>
        </w:tc>
        <w:tc>
          <w:tcPr>
            <w:tcW w:type="dxa" w:w="5040"/>
          </w:tcPr>
          <w:p>
            <w:r/>
            <w:r>
              <w:rPr>
                <w:b w:val="0"/>
              </w:rPr>
              <w:t>R0 through R4 risk classes with proportional quality gates.</w:t>
            </w:r>
          </w:p>
        </w:tc>
      </w:tr>
      <w:tr>
        <w:tc>
          <w:tcPr>
            <w:tcW w:type="dxa" w:w="5040"/>
          </w:tcPr>
          <w:p>
            <w:r/>
            <w:r>
              <w:rPr>
                <w:b w:val="0"/>
              </w:rPr>
              <w:t>Licensing</w:t>
            </w:r>
          </w:p>
        </w:tc>
        <w:tc>
          <w:tcPr>
            <w:tcW w:type="dxa" w:w="5040"/>
          </w:tcPr>
          <w:p>
            <w:r/>
            <w:r>
              <w:rPr>
                <w:b w:val="0"/>
              </w:rPr>
              <w:t>Private repository; all rights reserved throughout v0.x; licensing reconsidered before external beta or public release.</w:t>
            </w:r>
          </w:p>
        </w:tc>
      </w:tr>
    </w:tbl>
    <w:p>
      <w:pPr>
        <w:spacing w:after="40"/>
        <w:widowControl w:val="true"/>
      </w:pPr>
    </w:p>
    <w:p>
      <w:pPr>
        <w:pStyle w:val="Heading2"/>
        <w:keepNext/>
        <w:widowControl w:val="true"/>
      </w:pPr>
      <w:r>
        <w:rPr>
          <w:rFonts w:ascii="Liberation Sans" w:hAnsi="Liberation Sans" w:eastAsia="Liberation Sans"/>
        </w:rPr>
        <w:t>13.2 Explicitly Deferred Beyond v0.1</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mandatory centralized platform runtime for products.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fully autonomous multi-agent execution engine.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Vendor-specific agent integrations as normative platform behavior.</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Enterprise identity, entitlement, billing, tenancy, or marketplace capabilities for KEP itself.</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Centralized ingestion of product source code, production data, logs, secrets, or regulated information.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Universal CI/CD orchestration, deployment automation, infrastructure provisioning, or environment management.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Automated proof of product business correctness, complete security, complete compliance, or complete architecture conformance.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large shared application framework or mandatory common service mesh.</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Organization-wide portfolio planning and work management.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Formal external certification or accreditation programs.</w:t>
      </w:r>
    </w:p>
    <w:p>
      <w:pPr>
        <w:pStyle w:val="Heading2"/>
        <w:keepNext/>
        <w:widowControl w:val="true"/>
      </w:pPr>
      <w:r>
        <w:rPr>
          <w:rFonts w:ascii="Liberation Sans" w:hAnsi="Liberation Sans" w:eastAsia="Liberation Sans"/>
        </w:rPr>
        <w:t>13.3 v0.1 Completion Conditions</w:t>
      </w:r>
    </w:p>
    <w:p>
      <w:pPr>
        <w:spacing w:after="100" w:line="269" w:lineRule="auto"/>
        <w:widowControl w:val="true"/>
      </w:pPr>
      <w:r>
        <w:rPr>
          <w:rFonts w:ascii="Liberation Sans" w:hAnsi="Liberation Sans" w:eastAsia="Liberation Sans"/>
          <w:i w:val="0"/>
        </w:rPr>
        <w:t>KEP v0.1 SHALL be considered complete only when: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included capability definitions are approved, versioned, owned, discoverable, and internally consistent.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At least one representative product can adopt the baseline without surrendering product-domain ownership or becoming dependent on a mandatory platform runtime.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lifecycle can be executed end-to-end with traceable artifacts and truthful evidence.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The initial skills, playbooks, templates, verification rules, gates, and agent artifacts have representative acceptance evidence.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Known limitations, unresolved decisions, support boundaries, and migration expectations are published.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release, change, deprecation, exception, and feedback process is operational.</w:t>
      </w:r>
    </w:p>
    <w:p>
      <w:pPr>
        <w:spacing w:after="100" w:line="269" w:lineRule="auto"/>
        <w:widowControl w:val="true"/>
      </w:pPr>
      <w:r>
        <w:rPr>
          <w:rFonts w:ascii="Liberation Sans" w:hAnsi="Liberation Sans" w:eastAsia="Liberation Sans"/>
          <w:i w:val="0"/>
        </w:rPr>
        <w:t>Metro-X Precision is the primary v0.1 validation product. A technically different secondary context, such as an integration gateway or analytics platform, SHALL also validate adoption before general KEP v1.0 release. Metro-X Precision alone MAY support early v0.1 iteration but SHALL NOT be treated as sufficient proof of product independence.</w:t>
      </w:r>
    </w:p>
    <w:p>
      <w:pPr>
        <w:pStyle w:val="Heading1"/>
        <w:keepNext/>
        <w:widowControl w:val="true"/>
      </w:pPr>
      <w:r>
        <w:rPr>
          <w:rFonts w:ascii="Liberation Sans" w:hAnsi="Liberation Sans" w:eastAsia="Liberation Sans"/>
        </w:rPr>
        <w:t>14. Long-Term Direction Beyond v0.1</w:t>
      </w:r>
    </w:p>
    <w:p>
      <w:pPr>
        <w:spacing w:after="100" w:line="269" w:lineRule="auto"/>
        <w:widowControl w:val="true"/>
      </w:pPr>
      <w:r>
        <w:rPr>
          <w:rFonts w:ascii="Liberation Sans" w:hAnsi="Liberation Sans" w:eastAsia="Liberation Sans"/>
          <w:i w:val="0"/>
        </w:rPr>
        <w:t>The long-term vision is a comprehensive, composable engineering platform that can coordinate knowledge, contracts, verification, quality, and responsible AI-assisted execution across a portfolio of products without centralizing product-domain ownership.</w:t>
      </w:r>
    </w:p>
    <w:p>
      <w:pPr>
        <w:pStyle w:val="Heading2"/>
        <w:keepNext/>
        <w:widowControl w:val="true"/>
      </w:pPr>
      <w:r>
        <w:rPr>
          <w:rFonts w:ascii="Liberation Sans" w:hAnsi="Liberation Sans" w:eastAsia="Liberation Sans"/>
        </w:rPr>
        <w:t>14.1 Potential Future Capabilities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Richer machine-readable contract and traceability graphs.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Policy-as-code and architecture-conformance automation where rules can be made deterministic.</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Pluggable adapters for repositories, build systems, CI/CD platforms, clouds, issue trackers, documentation systems, and AI agents.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Federated knowledge retrieval with provenance, access control, staleness detection, and conflict analysis.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Reusable platform services whose cross-product value and operating model are proven.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Cross-product engineering analytics that respect product confidentiality and avoid metric gaming.</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Automated evidence collection and release attestations.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Capability catalogs, compatibility matrices, deprecation management, and adoption dashboards.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Evaluation harnesses for skills, playbooks, agent behavior, and verification reliability.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More advanced orchestration of human and agent roles with mandatory approval boundaries.</w:t>
      </w:r>
    </w:p>
    <w:p>
      <w:pPr>
        <w:pStyle w:val="Heading2"/>
        <w:keepNext/>
        <w:widowControl w:val="true"/>
      </w:pPr>
      <w:r>
        <w:rPr>
          <w:rFonts w:ascii="Liberation Sans" w:hAnsi="Liberation Sans" w:eastAsia="Liberation Sans"/>
        </w:rPr>
        <w:t>14.2 Vision Constraints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Future capability SHALL remain product-independent at the platform core.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Automation SHALL not obscure authority, evidence, or failure behavior.</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Shared runtime services SHALL be optional by default and contractually explicit when adopted.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Vendor adapters SHALL remain replaceable and subordinate to tool-neutral KEP contracts.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Future scope expansion SHALL satisfy the capability placement test and over-engineering controls in this document.</w:t>
      </w:r>
    </w:p>
    <w:p>
      <w:pPr>
        <w:pStyle w:val="Heading1"/>
        <w:keepNext/>
        <w:widowControl w:val="true"/>
      </w:pPr>
      <w:r>
        <w:rPr>
          <w:rFonts w:ascii="Liberation Sans" w:hAnsi="Liberation Sans" w:eastAsia="Liberation Sans"/>
        </w:rPr>
        <w:t>15. Success Measures</w:t>
      </w:r>
    </w:p>
    <w:p>
      <w:pPr>
        <w:spacing w:after="100" w:line="269" w:lineRule="auto"/>
        <w:widowControl w:val="true"/>
      </w:pPr>
      <w:r>
        <w:rPr>
          <w:rFonts w:ascii="Liberation Sans" w:hAnsi="Liberation Sans" w:eastAsia="Liberation Sans"/>
          <w:i w:val="0"/>
        </w:rPr>
        <w:t>KEP success SHALL be measured by improved engineering outcomes, not by document count, process count, tool usage, or centralized control. Metrics SHALL be interpreted with context and paired with qualitative evidence.</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3360"/>
        <w:gridCol w:w="3360"/>
        <w:gridCol w:w="3360"/>
      </w:tblGrid>
      <w:tr>
        <w:trPr>
          <w:tblHeader w:val="true"/>
        </w:trPr>
        <w:tc>
          <w:tcPr>
            <w:tcW w:type="dxa" w:w="2232"/>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Measure</w:t>
            </w:r>
          </w:p>
        </w:tc>
        <w:tc>
          <w:tcPr>
            <w:tcW w:type="dxa" w:w="4608"/>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Definition</w:t>
            </w:r>
          </w:p>
        </w:tc>
        <w:tc>
          <w:tcPr>
            <w:tcW w:type="dxa" w:w="2951"/>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Why it matters</w:t>
            </w:r>
          </w:p>
        </w:tc>
      </w:tr>
      <w:tr>
        <w:trPr>
          <w:cantSplit/>
        </w:trPr>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Intent and requirement fidelity</w:t>
            </w:r>
          </w:p>
        </w:tc>
        <w:tc>
          <w:tcPr>
            <w:tcW w:type="dxa" w:w="460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Percentage of material deliverables with traceable intent, approved requirements, acceptance criteria, and verified outcomes.</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Shows whether KEP prevents loss of meaning across the lifecycle.</w:t>
            </w:r>
          </w:p>
        </w:tc>
      </w:tr>
      <w:tr>
        <w:trPr>
          <w:cantSplit/>
        </w:trPr>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Evidence integrity</w:t>
            </w:r>
          </w:p>
        </w:tc>
        <w:tc>
          <w:tcPr>
            <w:tcW w:type="dxa" w:w="460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Rate of mandatory checks with truthful result states and reproducible evidence; incidence of fabricated or unsupported completion claims.</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Measures trustworthiness of delivery claims.</w:t>
            </w:r>
          </w:p>
        </w:tc>
      </w:tr>
      <w:tr>
        <w:trPr>
          <w:cantSplit/>
        </w:trPr>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Escaped defect and rework trend</w:t>
            </w:r>
          </w:p>
        </w:tc>
        <w:tc>
          <w:tcPr>
            <w:tcW w:type="dxa" w:w="460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Material defects or requirement reversals discovered after review or delivery; avoidable rework caused by missing context or unclear contracts.</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Tests whether governance improves outcomes rather than appearance.</w:t>
            </w:r>
          </w:p>
        </w:tc>
      </w:tr>
      <w:tr>
        <w:trPr>
          <w:cantSplit/>
        </w:trPr>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Architecture and documentation drift</w:t>
            </w:r>
          </w:p>
        </w:tc>
        <w:tc>
          <w:tcPr>
            <w:tcW w:type="dxa" w:w="460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Frequency and duration of material conflict between authoritative artifacts and implemented or operational reality.</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Measures controlled evolution and knowledge integrity.</w:t>
            </w:r>
          </w:p>
        </w:tc>
      </w:tr>
      <w:tr>
        <w:trPr>
          <w:cantSplit/>
        </w:trPr>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Delivery flow</w:t>
            </w:r>
          </w:p>
        </w:tc>
        <w:tc>
          <w:tcPr>
            <w:tcW w:type="dxa" w:w="460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Time from approved intent to verified delivery, segmented by change risk and excluding waiting caused by unresolved business decisions.</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Determines whether discipline and speed improve together.</w:t>
            </w:r>
          </w:p>
        </w:tc>
      </w:tr>
      <w:tr>
        <w:trPr>
          <w:cantSplit/>
        </w:trPr>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Adoption usability</w:t>
            </w:r>
          </w:p>
        </w:tc>
        <w:tc>
          <w:tcPr>
            <w:tcW w:type="dxa" w:w="460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Time and effort required for a product to adopt the v0.1 baseline; number and severity of adoption blockers.</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Tests whether KEP is usable outside its authorship context.</w:t>
            </w:r>
          </w:p>
        </w:tc>
      </w:tr>
      <w:tr>
        <w:trPr>
          <w:cantSplit/>
        </w:trPr>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Reuse value</w:t>
            </w:r>
          </w:p>
        </w:tc>
        <w:tc>
          <w:tcPr>
            <w:tcW w:type="dxa" w:w="460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Verified product use of platform capabilities, avoided duplicated effort, defect reduction, and support cost.</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Ensures reuse is earned and economically rational.</w:t>
            </w:r>
          </w:p>
        </w:tc>
      </w:tr>
      <w:tr>
        <w:trPr>
          <w:cantSplit/>
        </w:trPr>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Exception health</w:t>
            </w:r>
          </w:p>
        </w:tc>
        <w:tc>
          <w:tcPr>
            <w:tcW w:type="dxa" w:w="460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Number, age, risk, recurrence, and resolution of exceptions; proportion with owners and review dates.</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Reveals whether standards fit reality or hidden deviations are accumulating.</w:t>
            </w:r>
          </w:p>
        </w:tc>
      </w:tr>
      <w:tr>
        <w:trPr>
          <w:cantSplit/>
        </w:trPr>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Agent reliability</w:t>
            </w:r>
          </w:p>
        </w:tc>
        <w:tc>
          <w:tcPr>
            <w:tcW w:type="dxa" w:w="460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Rate of tasks with complete context, bounded actions, truthful logs, successful verification, and correct escalation.</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Measures responsible AI-assisted engineering independent of vendor.</w:t>
            </w:r>
          </w:p>
        </w:tc>
      </w:tr>
      <w:tr>
        <w:trPr>
          <w:cantSplit/>
        </w:trPr>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Knowledge survivability</w:t>
            </w:r>
          </w:p>
        </w:tc>
        <w:tc>
          <w:tcPr>
            <w:tcW w:type="dxa" w:w="460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Ability of a qualified contributor or authorized agent to understand, build, test, change, and operate a repository without inaccessible tribal knowledge.</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Measures whether knowledge survives individuals.</w:t>
            </w:r>
          </w:p>
        </w:tc>
      </w:tr>
      <w:tr>
        <w:trPr>
          <w:cantSplit/>
        </w:trPr>
        <w:tc>
          <w:tcPr>
            <w:tcW w:type="dxa" w:w="223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Platform learning</w:t>
            </w:r>
          </w:p>
        </w:tc>
        <w:tc>
          <w:tcPr>
            <w:tcW w:type="dxa" w:w="460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Time from validated product lesson to platform disposition and measured adoption; proportion of promoted capabilities later retained, revised, or retired.</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Measures whether feedback improves KEP without pollution.</w:t>
            </w:r>
          </w:p>
        </w:tc>
      </w:tr>
      <w:tr>
        <w:trPr>
          <w:cantSplit/>
        </w:trPr>
        <w:tc>
          <w:tcPr>
            <w:tcW w:type="dxa" w:w="223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Consumer trust and satisfaction</w:t>
            </w:r>
          </w:p>
        </w:tc>
        <w:tc>
          <w:tcPr>
            <w:tcW w:type="dxa" w:w="460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Structured feedback from product owners, engineers, reviewers, and operators on clarity, burden, usefulness, and risk reduction.</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Prevents metric-only optimization and exposes process friction.</w:t>
            </w:r>
          </w:p>
        </w:tc>
      </w:tr>
    </w:tbl>
    <w:p>
      <w:pPr>
        <w:spacing w:after="40"/>
        <w:widowControl w:val="true"/>
      </w:pPr>
    </w:p>
    <w:p>
      <w:pPr>
        <w:pStyle w:val="Heading2"/>
        <w:keepNext/>
        <w:widowControl w:val="true"/>
      </w:pPr>
      <w:r>
        <w:rPr>
          <w:rFonts w:ascii="Liberation Sans" w:hAnsi="Liberation Sans" w:eastAsia="Liberation Sans"/>
        </w:rPr>
        <w:t>15.1 Metric Governance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Baselines, targets, sampling methods, data retention, and reporting cadence SHALL be approved before metrics are used for performance decisions.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Metrics SHALL be segmented by risk and product context; low-risk and high-risk work SHALL NOT be compared without qualification.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No single metric SHALL determine KEP success.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metric that drives harmful behavior, superficial compliance, or concealment SHALL be revised or retired.</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Initial numeric targets remain deferred under UD-011 and SHALL be established only after baseline collection and approval.</w:t>
      </w:r>
    </w:p>
    <w:p>
      <w:pPr>
        <w:pStyle w:val="Heading1"/>
        <w:keepNext/>
        <w:widowControl w:val="true"/>
      </w:pPr>
      <w:r>
        <w:rPr>
          <w:rFonts w:ascii="Liberation Sans" w:hAnsi="Liberation Sans" w:eastAsia="Liberation Sans"/>
        </w:rPr>
        <w:t>16. Over-Engineering Risks and Controls</w:t>
      </w:r>
    </w:p>
    <w:p>
      <w:pPr>
        <w:spacing w:after="100" w:line="269" w:lineRule="auto"/>
        <w:widowControl w:val="true"/>
      </w:pPr>
      <w:r>
        <w:rPr>
          <w:rFonts w:ascii="Liberation Sans" w:hAnsi="Liberation Sans" w:eastAsia="Liberation Sans"/>
          <w:i w:val="0"/>
        </w:rPr>
        <w:t>KEP creates its own failure mode if platform governance becomes more expensive, complex, or centralized than the risks it controls. Over-engineering risk SHALL be evaluated as part of every material platform decision.</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3360"/>
        <w:gridCol w:w="3360"/>
        <w:gridCol w:w="3360"/>
      </w:tblGrid>
      <w:tr>
        <w:trPr>
          <w:tblHeader w:val="true"/>
        </w:trPr>
        <w:tc>
          <w:tcPr>
            <w:tcW w:type="dxa" w:w="1944"/>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Risk</w:t>
            </w:r>
          </w:p>
        </w:tc>
        <w:tc>
          <w:tcPr>
            <w:tcW w:type="dxa" w:w="3816"/>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Failure mode</w:t>
            </w:r>
          </w:p>
        </w:tc>
        <w:tc>
          <w:tcPr>
            <w:tcW w:type="dxa" w:w="4031"/>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Control</w:t>
            </w:r>
          </w:p>
        </w:tc>
      </w:tr>
      <w:tr>
        <w:trPr>
          <w:cantSplit/>
        </w:trPr>
        <w:tc>
          <w:tcPr>
            <w:tcW w:type="dxa" w:w="1944"/>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Document proliferation</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Many overlapping artifacts become difficult to maintain and contradict one another.</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Combine artifacts where possible; define authoritative sources; remove or archive orphaned material; treat stale documentation as a defect.</w:t>
            </w:r>
          </w:p>
        </w:tc>
      </w:tr>
      <w:tr>
        <w:trPr>
          <w:cantSplit/>
        </w:trPr>
        <w:tc>
          <w:tcPr>
            <w:tcW w:type="dxa" w:w="1944"/>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Process latency</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Mandatory reviews and gates delay low-risk work without reducing meaningful risk.</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Use risk-proportional gate profiles; delegate authority; measure wait time; allow documented fast paths.</w:t>
            </w:r>
          </w:p>
        </w:tc>
      </w:tr>
      <w:tr>
        <w:trPr>
          <w:cantSplit/>
        </w:trPr>
        <w:tc>
          <w:tcPr>
            <w:tcW w:type="dxa" w:w="1944"/>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Premature abstraction</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A shared capability is built before stable reuse exists.</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Incubate locally; require evidence and consumers; define exit or retirement criteria; prefer the smallest coherent abstraction.</w:t>
            </w:r>
          </w:p>
        </w:tc>
      </w:tr>
      <w:tr>
        <w:trPr>
          <w:cantSplit/>
        </w:trPr>
        <w:tc>
          <w:tcPr>
            <w:tcW w:type="dxa" w:w="1944"/>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Central bottleneck</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A small platform group becomes required for every product decision.</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Keep product decision rights local; publish self-service assets; delegate approvals; use escalation only for material conflict.</w:t>
            </w:r>
          </w:p>
        </w:tc>
      </w:tr>
      <w:tr>
        <w:trPr>
          <w:cantSplit/>
        </w:trPr>
        <w:tc>
          <w:tcPr>
            <w:tcW w:type="dxa" w:w="1944"/>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False compliance</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Teams complete templates or gates superficially while real risks remain.</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Require evidence and actionable review; audit samples; measure outcomes; prohibit placeholders as completion.</w:t>
            </w:r>
          </w:p>
        </w:tc>
      </w:tr>
      <w:tr>
        <w:trPr>
          <w:cantSplit/>
        </w:trPr>
        <w:tc>
          <w:tcPr>
            <w:tcW w:type="dxa" w:w="1944"/>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Tool lock-in</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KEP becomes inseparable from one vendor, repository, agent, operating system, or cloud.</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Define tool-neutral contracts; isolate adapters; publish data/export formats; test replacement boundaries.</w:t>
            </w:r>
          </w:p>
        </w:tc>
      </w:tr>
      <w:tr>
        <w:trPr>
          <w:cantSplit/>
        </w:trPr>
        <w:tc>
          <w:tcPr>
            <w:tcW w:type="dxa" w:w="1944"/>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Runtime coupling</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Shared services create synchronized failures, releases, or security exposure.</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Default to non-runtime assets; require service contracts, SLOs, failure isolation, cost model, and exit path for shared runtime.</w:t>
            </w:r>
          </w:p>
        </w:tc>
      </w:tr>
      <w:tr>
        <w:trPr>
          <w:cantSplit/>
        </w:trPr>
        <w:tc>
          <w:tcPr>
            <w:tcW w:type="dxa" w:w="1944"/>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Context overload</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Contributors and agents receive excessive irrelevant policy and knowledge.</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Use scoped context manifests; progressive disclosure; role and task-specific views; measure retrieval usefulness.</w:t>
            </w:r>
          </w:p>
        </w:tc>
      </w:tr>
      <w:tr>
        <w:trPr>
          <w:cantSplit/>
        </w:trPr>
        <w:tc>
          <w:tcPr>
            <w:tcW w:type="dxa" w:w="1944"/>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Stale platform assets</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Skills, templates, and policies persist after becoming inaccurate or unused.</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Assign owners and review dates; measure use; deprecate and retire; publish support windows.</w:t>
            </w:r>
          </w:p>
        </w:tc>
      </w:tr>
      <w:tr>
        <w:trPr>
          <w:cantSplit/>
        </w:trPr>
        <w:tc>
          <w:tcPr>
            <w:tcW w:type="dxa" w:w="1944"/>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Universal architecture bias</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Reference patterns are applied despite incompatible product constraints.</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Require decision rationale; permit justified deviations; separate principles from examples; review context fit.</w:t>
            </w:r>
          </w:p>
        </w:tc>
      </w:tr>
      <w:tr>
        <w:trPr>
          <w:cantSplit/>
        </w:trPr>
        <w:tc>
          <w:tcPr>
            <w:tcW w:type="dxa" w:w="1944"/>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Metric gaming</w:t>
            </w:r>
          </w:p>
        </w:tc>
        <w:tc>
          <w:tcPr>
            <w:tcW w:type="dxa" w:w="381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Teams optimize pass rates or artifact counts rather than outcomes.</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Use balanced measures, qualitative review, anti-gaming checks, and metric retirement triggers.</w:t>
            </w:r>
          </w:p>
        </w:tc>
      </w:tr>
      <w:tr>
        <w:trPr>
          <w:cantSplit/>
        </w:trPr>
        <w:tc>
          <w:tcPr>
            <w:tcW w:type="dxa" w:w="1944"/>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Platform scope creep</w:t>
            </w:r>
          </w:p>
        </w:tc>
        <w:tc>
          <w:tcPr>
            <w:tcW w:type="dxa" w:w="381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Product features and domain logic accumulate in KEP.</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Apply Section 17 placement test; enforce product-domain exclusion; require scope approval for material expansion.</w:t>
            </w:r>
          </w:p>
        </w:tc>
      </w:tr>
    </w:tbl>
    <w:p>
      <w:pPr>
        <w:spacing w:after="40"/>
        <w:widowControl w:val="true"/>
      </w:pPr>
    </w:p>
    <w:p>
      <w:pPr>
        <w:pStyle w:val="Heading2"/>
        <w:keepNext/>
        <w:widowControl w:val="true"/>
      </w:pPr>
      <w:r>
        <w:rPr>
          <w:rFonts w:ascii="Liberation Sans" w:hAnsi="Liberation Sans" w:eastAsia="Liberation Sans"/>
        </w:rPr>
        <w:t>16.1 Mandatory Proportionality Review</w:t>
      </w:r>
    </w:p>
    <w:p>
      <w:pPr>
        <w:spacing w:after="100" w:line="269" w:lineRule="auto"/>
        <w:widowControl w:val="true"/>
      </w:pPr>
      <w:r>
        <w:rPr>
          <w:rFonts w:ascii="Liberation Sans" w:hAnsi="Liberation Sans" w:eastAsia="Liberation Sans"/>
          <w:i w:val="0"/>
        </w:rPr>
        <w:t>Every proposed mandatory KEP control SHOULD answer:</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Which specific risk or recurring cost does it reduce?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Which products or change classes require it?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What is the lightest control that can achieve the outcome?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What evidence will show that the control works?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What burden does it introduce and who bears that burden?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What escape path, exception, or local alternative is appropriate?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When will the control be reviewed, simplified, or retired?</w:t>
      </w:r>
    </w:p>
    <w:p>
      <w:pPr>
        <w:pStyle w:val="Heading1"/>
        <w:keepNext/>
        <w:widowControl w:val="true"/>
      </w:pPr>
      <w:r>
        <w:rPr>
          <w:rFonts w:ascii="Liberation Sans" w:hAnsi="Liberation Sans" w:eastAsia="Liberation Sans"/>
        </w:rPr>
        <w:t>17. Capability Placement Test</w:t>
      </w:r>
    </w:p>
    <w:p>
      <w:pPr>
        <w:spacing w:after="100" w:line="269" w:lineRule="auto"/>
        <w:widowControl w:val="true"/>
      </w:pPr>
      <w:r>
        <w:rPr>
          <w:rFonts w:ascii="Liberation Sans" w:hAnsi="Liberation Sans" w:eastAsia="Liberation Sans"/>
          <w:i w:val="0"/>
        </w:rPr>
        <w:t>A capability SHALL be placed in KEP only when its platform value exceeds the cost and coupling introduced by central ownership. The following test is mandatory for proposed platform capabilities and material expansions.</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3360"/>
        <w:gridCol w:w="3360"/>
        <w:gridCol w:w="3360"/>
      </w:tblGrid>
      <w:tr>
        <w:trPr>
          <w:tblHeader w:val="true"/>
        </w:trPr>
        <w:tc>
          <w:tcPr>
            <w:tcW w:type="dxa" w:w="1872"/>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Criterion</w:t>
            </w:r>
          </w:p>
        </w:tc>
        <w:tc>
          <w:tcPr>
            <w:tcW w:type="dxa" w:w="4968"/>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Question</w:t>
            </w:r>
          </w:p>
        </w:tc>
        <w:tc>
          <w:tcPr>
            <w:tcW w:type="dxa" w:w="2951"/>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Default disposition</w:t>
            </w:r>
          </w:p>
        </w:tc>
      </w:tr>
      <w:tr>
        <w:trPr>
          <w:cantSplit/>
        </w:trPr>
        <w:tc>
          <w:tcPr>
            <w:tcW w:type="dxa" w:w="187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Problem scope</w:t>
            </w:r>
          </w:p>
        </w:tc>
        <w:tc>
          <w:tcPr>
            <w:tcW w:type="dxa" w:w="49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Does the problem recur across independent products or engineering contexts?</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If no, retain in the product.</w:t>
            </w:r>
          </w:p>
        </w:tc>
      </w:tr>
      <w:tr>
        <w:trPr>
          <w:cantSplit/>
        </w:trPr>
        <w:tc>
          <w:tcPr>
            <w:tcW w:type="dxa" w:w="187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Domain neutrality</w:t>
            </w:r>
          </w:p>
        </w:tc>
        <w:tc>
          <w:tcPr>
            <w:tcW w:type="dxa" w:w="496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Can the capability be described without product-domain policy, terminology, or data meaning?</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If no, retain in the product or a separately governed domain platform.</w:t>
            </w:r>
          </w:p>
        </w:tc>
      </w:tr>
      <w:tr>
        <w:trPr>
          <w:cantSplit/>
        </w:trPr>
        <w:tc>
          <w:tcPr>
            <w:tcW w:type="dxa" w:w="187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Stability</w:t>
            </w:r>
          </w:p>
        </w:tc>
        <w:tc>
          <w:tcPr>
            <w:tcW w:type="dxa" w:w="49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Is the underlying concept sufficiently understood to define a coherent contract?</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If no, incubate in a product.</w:t>
            </w:r>
          </w:p>
        </w:tc>
      </w:tr>
      <w:tr>
        <w:trPr>
          <w:cantSplit/>
        </w:trPr>
        <w:tc>
          <w:tcPr>
            <w:tcW w:type="dxa" w:w="187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Governance value</w:t>
            </w:r>
          </w:p>
        </w:tc>
        <w:tc>
          <w:tcPr>
            <w:tcW w:type="dxa" w:w="496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Would inconsistent implementation create material security, reliability, interoperability, audit, or delivery risk?</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Strong governance value may justify earlier platform placement.</w:t>
            </w:r>
          </w:p>
        </w:tc>
      </w:tr>
      <w:tr>
        <w:trPr>
          <w:cantSplit/>
        </w:trPr>
        <w:tc>
          <w:tcPr>
            <w:tcW w:type="dxa" w:w="187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Reuse evidence</w:t>
            </w:r>
          </w:p>
        </w:tc>
        <w:tc>
          <w:tcPr>
            <w:tcW w:type="dxa" w:w="49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Are there representative consumers or validated repeated use cases?</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If no, require an evidence plan and time-bounded incubation.</w:t>
            </w:r>
          </w:p>
        </w:tc>
      </w:tr>
      <w:tr>
        <w:trPr>
          <w:cantSplit/>
        </w:trPr>
        <w:tc>
          <w:tcPr>
            <w:tcW w:type="dxa" w:w="187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Coupling</w:t>
            </w:r>
          </w:p>
        </w:tc>
        <w:tc>
          <w:tcPr>
            <w:tcW w:type="dxa" w:w="496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Will centralization create runtime, release, data, security, organizational, or vendor coupling?</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If material coupling cannot be controlled, do not promote.</w:t>
            </w:r>
          </w:p>
        </w:tc>
      </w:tr>
      <w:tr>
        <w:trPr>
          <w:cantSplit/>
        </w:trPr>
        <w:tc>
          <w:tcPr>
            <w:tcW w:type="dxa" w:w="187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Ownership and support</w:t>
            </w:r>
          </w:p>
        </w:tc>
        <w:tc>
          <w:tcPr>
            <w:tcW w:type="dxa" w:w="49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Is there an accountable owner, lifecycle, support boundary, funding, and retirement path?</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If no, do not promote.</w:t>
            </w:r>
          </w:p>
        </w:tc>
      </w:tr>
      <w:tr>
        <w:trPr>
          <w:cantSplit/>
        </w:trPr>
        <w:tc>
          <w:tcPr>
            <w:tcW w:type="dxa" w:w="187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Compatibility</w:t>
            </w:r>
          </w:p>
        </w:tc>
        <w:tc>
          <w:tcPr>
            <w:tcW w:type="dxa" w:w="496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Can the capability be versioned and evolved without silently breaking products?</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If no, redesign the boundary or retain locally.</w:t>
            </w:r>
          </w:p>
        </w:tc>
      </w:tr>
      <w:tr>
        <w:trPr>
          <w:cantSplit/>
        </w:trPr>
        <w:tc>
          <w:tcPr>
            <w:tcW w:type="dxa" w:w="1872"/>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Measurable outcome</w:t>
            </w:r>
          </w:p>
        </w:tc>
        <w:tc>
          <w:tcPr>
            <w:tcW w:type="dxa" w:w="496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Can benefit and burden be measured?</w:t>
            </w:r>
          </w:p>
        </w:tc>
        <w:tc>
          <w:tcPr>
            <w:tcW w:type="dxa" w:w="295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If no, define observable outcomes before promotion.</w:t>
            </w:r>
          </w:p>
        </w:tc>
      </w:tr>
      <w:tr>
        <w:trPr>
          <w:cantSplit/>
        </w:trPr>
        <w:tc>
          <w:tcPr>
            <w:tcW w:type="dxa" w:w="1872"/>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Extension path</w:t>
            </w:r>
          </w:p>
        </w:tc>
        <w:tc>
          <w:tcPr>
            <w:tcW w:type="dxa" w:w="496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Can legitimate product variation remain local?</w:t>
            </w:r>
          </w:p>
        </w:tc>
        <w:tc>
          <w:tcPr>
            <w:tcW w:type="dxa" w:w="295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If no, the abstraction is likely too rigid.</w:t>
            </w:r>
          </w:p>
        </w:tc>
      </w:tr>
    </w:tbl>
    <w:p>
      <w:pPr>
        <w:spacing w:after="40"/>
        <w:widowControl w:val="true"/>
      </w:pPr>
    </w:p>
    <w:p>
      <w:pPr>
        <w:pStyle w:val="Heading2"/>
        <w:keepNext/>
        <w:widowControl w:val="true"/>
      </w:pPr>
      <w:r>
        <w:rPr>
          <w:rFonts w:ascii="Liberation Sans" w:hAnsi="Liberation Sans" w:eastAsia="Liberation Sans"/>
        </w:rPr>
        <w:t>17.1 Placement Outcomes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core: stable, mandatory or broadly reusable platform capability.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KEP extension or adapter: tool, vendor, environment, or product-specific integration behind a KEP contract.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Product repository: product-specific, experimental, rapidly changing, or locally operated capability.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Domain platform: shared capability for a bounded business domain under separate governance, consuming KEP engineering policy without redefining KEP.</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Do not build: speculative capability with insufficient value, ownership, or evidence.</w:t>
      </w:r>
    </w:p>
    <w:p>
      <w:pPr>
        <w:pStyle w:val="Heading2"/>
        <w:keepNext/>
        <w:widowControl w:val="true"/>
      </w:pPr>
      <w:r>
        <w:rPr>
          <w:rFonts w:ascii="Liberation Sans" w:hAnsi="Liberation Sans" w:eastAsia="Liberation Sans"/>
        </w:rPr>
        <w:t>17.2 Burden of Proof</w:t>
      </w:r>
    </w:p>
    <w:p>
      <w:pPr>
        <w:spacing w:after="100" w:line="269" w:lineRule="auto"/>
        <w:widowControl w:val="true"/>
      </w:pPr>
      <w:r>
        <w:rPr>
          <w:rFonts w:ascii="Liberation Sans" w:hAnsi="Liberation Sans" w:eastAsia="Liberation Sans"/>
          <w:i w:val="0"/>
        </w:rPr>
        <w:t>The proposer of platform placement carries the burden of demonstrating platform value, coherent boundaries, ownership, and controlled evolution. Convenience for the originating product alone is insufficient.</w:t>
      </w:r>
    </w:p>
    <w:p>
      <w:pPr>
        <w:pStyle w:val="Heading1"/>
        <w:keepNext/>
        <w:widowControl w:val="true"/>
      </w:pPr>
      <w:r>
        <w:rPr>
          <w:rFonts w:ascii="Liberation Sans" w:hAnsi="Liberation Sans" w:eastAsia="Liberation Sans"/>
        </w:rPr>
        <w:t>18. Adoption and Migration Principles</w:t>
      </w:r>
    </w:p>
    <w:p>
      <w:pPr>
        <w:spacing w:after="100" w:line="269" w:lineRule="auto"/>
        <w:widowControl w:val="true"/>
      </w:pPr>
      <w:r>
        <w:rPr>
          <w:rFonts w:ascii="Liberation Sans" w:hAnsi="Liberation Sans" w:eastAsia="Liberation Sans"/>
          <w:i w:val="0"/>
        </w:rPr>
        <w:t>Existing projects SHALL adopt KEP incrementally, based on risk and value. Adoption is a controlled alignment process, not a mandatory rewrite or artifact-generation exercise.</w:t>
      </w:r>
    </w:p>
    <w:p>
      <w:pPr>
        <w:pStyle w:val="Heading2"/>
        <w:keepNext/>
        <w:widowControl w:val="true"/>
      </w:pPr>
      <w:r>
        <w:rPr>
          <w:rFonts w:ascii="Liberation Sans" w:hAnsi="Liberation Sans" w:eastAsia="Liberation Sans"/>
        </w:rPr>
        <w:t>18.1 Principles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Inventory before change: identify current authoritative documents, architecture, repository rules, tests, operations, risks, and hidden knowledge.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Preserve delivery: migration SHALL avoid unnecessary disruption to product commitments and production stability.</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Prioritize risk: address missing ownership, unsafe release behavior, inaccessible knowledge, unsupported completion claims, security gaps, and irreversible data risks before cosmetic structure.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Adopt the minimum useful baseline: begin with purpose, ownership, scope, authoritative sources, repository rules, evidence, and exceptions.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Do not rewrite solely for conformance: retain working structures when they satisfy the required knowledge and control outcomes.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Declare gaps honestly: migration status SHALL distinguish complete, partial, deferred, not applicable, and excepted areas.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Version adoption: record the KEP version and capability set; platform upgrades are explicit changes.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Use local overlays: product-specific rules SHALL remain local and clearly separated from KEP rules.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Automate after stabilization: do not automate an unclear or unstable process merely to accelerate adoption.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Provide rollback and exit: migrations that introduce executable dependencies or services SHALL define rollback and removal paths.</w:t>
      </w:r>
    </w:p>
    <w:p>
      <w:pPr>
        <w:pStyle w:val="Heading2"/>
        <w:keepNext/>
        <w:widowControl w:val="true"/>
      </w:pPr>
      <w:r>
        <w:rPr>
          <w:rFonts w:ascii="Liberation Sans" w:hAnsi="Liberation Sans" w:eastAsia="Liberation Sans"/>
        </w:rPr>
        <w:t>18.2 Recommended Migration Sequence</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3360"/>
        <w:gridCol w:w="3360"/>
        <w:gridCol w:w="3360"/>
      </w:tblGrid>
      <w:tr>
        <w:trPr>
          <w:tblHeader w:val="true"/>
        </w:trPr>
        <w:tc>
          <w:tcPr>
            <w:tcW w:type="dxa" w:w="1728"/>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Stage</w:t>
            </w:r>
          </w:p>
        </w:tc>
        <w:tc>
          <w:tcPr>
            <w:tcW w:type="dxa" w:w="5328"/>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Action</w:t>
            </w:r>
          </w:p>
        </w:tc>
        <w:tc>
          <w:tcPr>
            <w:tcW w:type="dxa" w:w="2736"/>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Outcome</w:t>
            </w:r>
          </w:p>
        </w:tc>
      </w:tr>
      <w:tr>
        <w:trPr>
          <w:cantSplit/>
        </w:trPr>
        <w:tc>
          <w:tcPr>
            <w:tcW w:type="dxa" w:w="1728"/>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0. Discovery</w:t>
            </w:r>
          </w:p>
        </w:tc>
        <w:tc>
          <w:tcPr>
            <w:tcW w:type="dxa" w:w="532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Inventory repositories, artifacts, owners, architecture, operational dependencies, current workflows, and critical risks.</w:t>
            </w:r>
          </w:p>
        </w:tc>
        <w:tc>
          <w:tcPr>
            <w:tcW w:type="dxa" w:w="273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Assessment and gap register.</w:t>
            </w:r>
          </w:p>
        </w:tc>
      </w:tr>
      <w:tr>
        <w:trPr>
          <w:cantSplit/>
        </w:trPr>
        <w:tc>
          <w:tcPr>
            <w:tcW w:type="dxa" w:w="1728"/>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1. Declaration</w:t>
            </w:r>
          </w:p>
        </w:tc>
        <w:tc>
          <w:tcPr>
            <w:tcW w:type="dxa" w:w="532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Create the adoption record; identify KEP version, owners, scope, local rules, and exceptions.</w:t>
            </w:r>
          </w:p>
        </w:tc>
        <w:tc>
          <w:tcPr>
            <w:tcW w:type="dxa" w:w="273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Approved adoption boundary.</w:t>
            </w:r>
          </w:p>
        </w:tc>
      </w:tr>
      <w:tr>
        <w:trPr>
          <w:cantSplit/>
        </w:trPr>
        <w:tc>
          <w:tcPr>
            <w:tcW w:type="dxa" w:w="1728"/>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2. Minimum governance</w:t>
            </w:r>
          </w:p>
        </w:tc>
        <w:tc>
          <w:tcPr>
            <w:tcW w:type="dxa" w:w="532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Establish purpose, scope, authoritative sources, decision records, repository rules, and ownership.</w:t>
            </w:r>
          </w:p>
        </w:tc>
        <w:tc>
          <w:tcPr>
            <w:tcW w:type="dxa" w:w="273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Governed knowledge baseline.</w:t>
            </w:r>
          </w:p>
        </w:tc>
      </w:tr>
      <w:tr>
        <w:trPr>
          <w:cantSplit/>
        </w:trPr>
        <w:tc>
          <w:tcPr>
            <w:tcW w:type="dxa" w:w="1728"/>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3. Contracts and traceability</w:t>
            </w:r>
          </w:p>
        </w:tc>
        <w:tc>
          <w:tcPr>
            <w:tcW w:type="dxa" w:w="532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Structure requirements, interfaces, data, security, operations, and acceptance evidence for material areas.</w:t>
            </w:r>
          </w:p>
        </w:tc>
        <w:tc>
          <w:tcPr>
            <w:tcW w:type="dxa" w:w="273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Traceable contract baseline.</w:t>
            </w:r>
          </w:p>
        </w:tc>
      </w:tr>
      <w:tr>
        <w:trPr>
          <w:cantSplit/>
        </w:trPr>
        <w:tc>
          <w:tcPr>
            <w:tcW w:type="dxa" w:w="1728"/>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4. Verification and gates</w:t>
            </w:r>
          </w:p>
        </w:tc>
        <w:tc>
          <w:tcPr>
            <w:tcW w:type="dxa" w:w="532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Define truthful checks, mandatory gates, release evidence, and exception handling proportional to risk.</w:t>
            </w:r>
          </w:p>
        </w:tc>
        <w:tc>
          <w:tcPr>
            <w:tcW w:type="dxa" w:w="273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Verified delivery baseline.</w:t>
            </w:r>
          </w:p>
        </w:tc>
      </w:tr>
      <w:tr>
        <w:trPr>
          <w:cantSplit/>
        </w:trPr>
        <w:tc>
          <w:tcPr>
            <w:tcW w:type="dxa" w:w="1728"/>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5. Agent operating controls</w:t>
            </w:r>
          </w:p>
        </w:tc>
        <w:tc>
          <w:tcPr>
            <w:tcW w:type="dxa" w:w="532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Apply task envelopes, context, permissions, validation, and handoff to AI-assisted work.</w:t>
            </w:r>
          </w:p>
        </w:tc>
        <w:tc>
          <w:tcPr>
            <w:tcW w:type="dxa" w:w="2736"/>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Bounded agent participation.</w:t>
            </w:r>
          </w:p>
        </w:tc>
      </w:tr>
      <w:tr>
        <w:trPr>
          <w:cantSplit/>
        </w:trPr>
        <w:tc>
          <w:tcPr>
            <w:tcW w:type="dxa" w:w="1728"/>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6. Learning loop</w:t>
            </w:r>
          </w:p>
        </w:tc>
        <w:tc>
          <w:tcPr>
            <w:tcW w:type="dxa" w:w="532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Capture recurring friction and reusable lessons; propose platform improvements through governance.</w:t>
            </w:r>
          </w:p>
        </w:tc>
        <w:tc>
          <w:tcPr>
            <w:tcW w:type="dxa" w:w="2736"/>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Active product-to-platform feedback.</w:t>
            </w:r>
          </w:p>
        </w:tc>
      </w:tr>
    </w:tbl>
    <w:p>
      <w:pPr>
        <w:spacing w:after="40"/>
        <w:widowControl w:val="true"/>
      </w:pPr>
    </w:p>
    <w:p>
      <w:pPr>
        <w:pStyle w:val="Heading2"/>
        <w:keepNext/>
        <w:widowControl w:val="true"/>
      </w:pPr>
      <w:r>
        <w:rPr>
          <w:rFonts w:ascii="Liberation Sans" w:hAnsi="Liberation Sans" w:eastAsia="Liberation Sans"/>
        </w:rPr>
        <w:t>18.3 Existing Project Exceptions</w:t>
      </w:r>
    </w:p>
    <w:p>
      <w:pPr>
        <w:spacing w:after="100" w:line="269" w:lineRule="auto"/>
        <w:widowControl w:val="true"/>
      </w:pPr>
      <w:r>
        <w:rPr>
          <w:rFonts w:ascii="Liberation Sans" w:hAnsi="Liberation Sans" w:eastAsia="Liberation Sans"/>
          <w:i w:val="0"/>
        </w:rPr>
        <w:t>A legacy constraint MAY justify temporary non-conformance. The exception SHALL identify the affected rule, scope, risk, compensating control, owner, review or expiration condition, and migration trigger. Indefinite undocumented grandfathering is prohibited.</w:t>
      </w:r>
    </w:p>
    <w:p>
      <w:pPr>
        <w:pStyle w:val="Heading1"/>
        <w:keepNext/>
        <w:widowControl w:val="true"/>
      </w:pPr>
      <w:r>
        <w:t>19. Founding Decisions and Deferred Decisions</w:t>
      </w:r>
    </w:p>
    <w:p>
      <w:pPr>
        <w:spacing w:after="100" w:line="269" w:lineRule="auto"/>
        <w:widowControl w:val="true"/>
      </w:pPr>
      <w:r>
        <w:t>KEP-001A records the founding decisions approved for incorporation into this version. UD-001 through UD-007 and UD-016 are resolved by that decision record and are binding upon ratification of KEP-001. UD-008 through UD-015 remain deferred and SHALL NOT be inferred, silently embedded in implementation, or treated as adopted policy.</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2520"/>
        <w:gridCol w:w="2520"/>
        <w:gridCol w:w="2520"/>
        <w:gridCol w:w="2520"/>
      </w:tblGrid>
      <w:tr>
        <w:trPr>
          <w:tblHeader w:val="true"/>
        </w:trPr>
        <w:tc>
          <w:tcPr>
            <w:tcW w:type="dxa" w:w="936"/>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ID</w:t>
            </w:r>
          </w:p>
        </w:tc>
        <w:tc>
          <w:tcPr>
            <w:tcW w:type="dxa" w:w="2448"/>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Decision</w:t>
            </w:r>
          </w:p>
        </w:tc>
        <w:tc>
          <w:tcPr>
            <w:tcW w:type="dxa" w:w="468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Question</w:t>
            </w:r>
          </w:p>
        </w:tc>
        <w:tc>
          <w:tcPr>
            <w:tcW w:type="dxa" w:w="180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5"/>
              </w:rPr>
              <w:t>Required disposition</w:t>
            </w:r>
          </w:p>
        </w:tc>
      </w:tr>
      <w:tr>
        <w:trPr>
          <w:cantSplit/>
        </w:trPr>
        <w:tc>
          <w:tcPr>
            <w:tcW w:type="dxa" w:w="9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UD-001</w:t>
            </w:r>
          </w:p>
        </w:tc>
        <w:tc>
          <w:tcPr>
            <w:tcW w:type="dxa" w:w="244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Ratifying authority and named ownership</w:t>
            </w:r>
          </w:p>
        </w:tc>
        <w:tc>
          <w:tcPr>
            <w:tcW w:type="dxa" w:w="468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Who formally ratifies KEP-001, and who is assigned as Platform Owner, Governance Steward, Architecture Authority, Quality Gate Authority, and Platform Release Authority?</w:t>
            </w:r>
          </w:p>
        </w:tc>
        <w:tc>
          <w:tcPr>
            <w:tcW w:type="dxa" w:w="1800"/>
            <w:tcMar>
              <w:top w:w="80" w:type="dxa"/>
              <w:start w:w="90" w:type="dxa"/>
              <w:bottom w:w="80" w:type="dxa"/>
              <w:end w:w="90" w:type="dxa"/>
            </w:tcMar>
            <w:vAlign w:val="top"/>
          </w:tcPr>
          <w:p>
            <w:r/>
            <w:r>
              <w:rPr>
                <w:b w:val="0"/>
              </w:rPr>
              <w:t>Resolved by KEP-001A and incorporated into KEP-001 Version 1.0.</w:t>
            </w:r>
          </w:p>
        </w:tc>
      </w:tr>
      <w:tr>
        <w:trPr>
          <w:cantSplit/>
        </w:trPr>
        <w:tc>
          <w:tcPr>
            <w:tcW w:type="dxa" w:w="9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UD-002</w:t>
            </w:r>
          </w:p>
        </w:tc>
        <w:tc>
          <w:tcPr>
            <w:tcW w:type="dxa" w:w="244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Governance review cadence</w:t>
            </w:r>
          </w:p>
        </w:tc>
        <w:tc>
          <w:tcPr>
            <w:tcW w:type="dxa" w:w="468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What periodic review cadence applies to foundational policy, standards, exceptions, and ownership records?</w:t>
            </w:r>
          </w:p>
        </w:tc>
        <w:tc>
          <w:tcPr>
            <w:tcW w:type="dxa" w:w="1800"/>
            <w:tcMar>
              <w:top w:w="80" w:type="dxa"/>
              <w:start w:w="90" w:type="dxa"/>
              <w:bottom w:w="80" w:type="dxa"/>
              <w:end w:w="90" w:type="dxa"/>
            </w:tcMar>
            <w:shd w:fill="F5F6F8"/>
            <w:vAlign w:val="top"/>
          </w:tcPr>
          <w:p>
            <w:r/>
            <w:r>
              <w:rPr>
                <w:b w:val="0"/>
              </w:rPr>
              <w:t>Resolved by KEP-001A and incorporated into KEP-001 Version 1.0.</w:t>
            </w:r>
          </w:p>
        </w:tc>
      </w:tr>
      <w:tr>
        <w:trPr>
          <w:cantSplit/>
        </w:trPr>
        <w:tc>
          <w:tcPr>
            <w:tcW w:type="dxa" w:w="9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UD-003</w:t>
            </w:r>
          </w:p>
        </w:tc>
        <w:tc>
          <w:tcPr>
            <w:tcW w:type="dxa" w:w="244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Repository topology</w:t>
            </w:r>
          </w:p>
        </w:tc>
        <w:tc>
          <w:tcPr>
            <w:tcW w:type="dxa" w:w="468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Will KEP governance, capabilities, executable helpers, schemas, and examples live in one repository, multiple repositories, or versioned packages?</w:t>
            </w:r>
          </w:p>
        </w:tc>
        <w:tc>
          <w:tcPr>
            <w:tcW w:type="dxa" w:w="1800"/>
            <w:tcMar>
              <w:top w:w="80" w:type="dxa"/>
              <w:start w:w="90" w:type="dxa"/>
              <w:bottom w:w="80" w:type="dxa"/>
              <w:end w:w="90" w:type="dxa"/>
            </w:tcMar>
            <w:vAlign w:val="top"/>
          </w:tcPr>
          <w:p>
            <w:r/>
            <w:r>
              <w:rPr>
                <w:b w:val="0"/>
              </w:rPr>
              <w:t>Resolved by KEP-001A and incorporated into KEP-001 Version 1.0.</w:t>
            </w:r>
          </w:p>
        </w:tc>
      </w:tr>
      <w:tr>
        <w:trPr>
          <w:cantSplit/>
        </w:trPr>
        <w:tc>
          <w:tcPr>
            <w:tcW w:type="dxa" w:w="9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UD-004</w:t>
            </w:r>
          </w:p>
        </w:tc>
        <w:tc>
          <w:tcPr>
            <w:tcW w:type="dxa" w:w="244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Canonical artifact formats</w:t>
            </w:r>
          </w:p>
        </w:tc>
        <w:tc>
          <w:tcPr>
            <w:tcW w:type="dxa" w:w="468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Which human-readable and machine-readable formats are authoritative for contracts, manifests, evidence, and policy?</w:t>
            </w:r>
          </w:p>
        </w:tc>
        <w:tc>
          <w:tcPr>
            <w:tcW w:type="dxa" w:w="1800"/>
            <w:tcMar>
              <w:top w:w="80" w:type="dxa"/>
              <w:start w:w="90" w:type="dxa"/>
              <w:bottom w:w="80" w:type="dxa"/>
              <w:end w:w="90" w:type="dxa"/>
            </w:tcMar>
            <w:shd w:fill="F5F6F8"/>
            <w:vAlign w:val="top"/>
          </w:tcPr>
          <w:p>
            <w:r/>
            <w:r>
              <w:rPr>
                <w:b w:val="0"/>
              </w:rPr>
              <w:t>Resolved by KEP-001A and incorporated into KEP-001 Version 1.0.</w:t>
            </w:r>
          </w:p>
        </w:tc>
      </w:tr>
      <w:tr>
        <w:trPr>
          <w:cantSplit/>
        </w:trPr>
        <w:tc>
          <w:tcPr>
            <w:tcW w:type="dxa" w:w="9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UD-005</w:t>
            </w:r>
          </w:p>
        </w:tc>
        <w:tc>
          <w:tcPr>
            <w:tcW w:type="dxa" w:w="244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v0.1 validation products</w:t>
            </w:r>
          </w:p>
        </w:tc>
        <w:tc>
          <w:tcPr>
            <w:tcW w:type="dxa" w:w="468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How many and which representative products must validate v0.1 before general release?</w:t>
            </w:r>
          </w:p>
        </w:tc>
        <w:tc>
          <w:tcPr>
            <w:tcW w:type="dxa" w:w="1800"/>
            <w:tcMar>
              <w:top w:w="80" w:type="dxa"/>
              <w:start w:w="90" w:type="dxa"/>
              <w:bottom w:w="80" w:type="dxa"/>
              <w:end w:w="90" w:type="dxa"/>
            </w:tcMar>
            <w:vAlign w:val="top"/>
          </w:tcPr>
          <w:p>
            <w:r/>
            <w:r>
              <w:rPr>
                <w:b w:val="0"/>
              </w:rPr>
              <w:t>Resolved by KEP-001A and incorporated into KEP-001 Version 1.0.</w:t>
            </w:r>
          </w:p>
        </w:tc>
      </w:tr>
      <w:tr>
        <w:trPr>
          <w:cantSplit/>
        </w:trPr>
        <w:tc>
          <w:tcPr>
            <w:tcW w:type="dxa" w:w="9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UD-006</w:t>
            </w:r>
          </w:p>
        </w:tc>
        <w:tc>
          <w:tcPr>
            <w:tcW w:type="dxa" w:w="244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Risk classification model</w:t>
            </w:r>
          </w:p>
        </w:tc>
        <w:tc>
          <w:tcPr>
            <w:tcW w:type="dxa" w:w="468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What change and system risk classes determine gate applicability and approval authority?</w:t>
            </w:r>
          </w:p>
        </w:tc>
        <w:tc>
          <w:tcPr>
            <w:tcW w:type="dxa" w:w="1800"/>
            <w:tcMar>
              <w:top w:w="80" w:type="dxa"/>
              <w:start w:w="90" w:type="dxa"/>
              <w:bottom w:w="80" w:type="dxa"/>
              <w:end w:w="90" w:type="dxa"/>
            </w:tcMar>
            <w:shd w:fill="F5F6F8"/>
            <w:vAlign w:val="top"/>
          </w:tcPr>
          <w:p>
            <w:r/>
            <w:r>
              <w:rPr>
                <w:b w:val="0"/>
              </w:rPr>
              <w:t>Resolved by KEP-001A and incorporated into KEP-001 Version 1.0.</w:t>
            </w:r>
          </w:p>
        </w:tc>
      </w:tr>
      <w:tr>
        <w:trPr>
          <w:cantSplit/>
        </w:trPr>
        <w:tc>
          <w:tcPr>
            <w:tcW w:type="dxa" w:w="9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UD-007</w:t>
            </w:r>
          </w:p>
        </w:tc>
        <w:tc>
          <w:tcPr>
            <w:tcW w:type="dxa" w:w="244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Operations CLI implementation and distribution</w:t>
            </w:r>
          </w:p>
        </w:tc>
        <w:tc>
          <w:tcPr>
            <w:tcW w:type="dxa" w:w="468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Which implementation language, packaging channels, extension mechanism, and support platforms will implement the CLI contract?</w:t>
            </w:r>
          </w:p>
        </w:tc>
        <w:tc>
          <w:tcPr>
            <w:tcW w:type="dxa" w:w="1800"/>
            <w:tcMar>
              <w:top w:w="80" w:type="dxa"/>
              <w:start w:w="90" w:type="dxa"/>
              <w:bottom w:w="80" w:type="dxa"/>
              <w:end w:w="90" w:type="dxa"/>
            </w:tcMar>
            <w:vAlign w:val="top"/>
          </w:tcPr>
          <w:p>
            <w:r/>
            <w:r>
              <w:rPr>
                <w:b w:val="0"/>
              </w:rPr>
              <w:t>Resolved by KEP-001A and incorporated into KEP-001 Version 1.0.</w:t>
            </w:r>
          </w:p>
        </w:tc>
      </w:tr>
      <w:tr>
        <w:trPr>
          <w:cantSplit/>
        </w:trPr>
        <w:tc>
          <w:tcPr>
            <w:tcW w:type="dxa" w:w="9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UD-008</w:t>
            </w:r>
          </w:p>
        </w:tc>
        <w:tc>
          <w:tcPr>
            <w:tcW w:type="dxa" w:w="244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Identity and access for platform assets</w:t>
            </w:r>
          </w:p>
        </w:tc>
        <w:tc>
          <w:tcPr>
            <w:tcW w:type="dxa" w:w="468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What authentication, authorization, signing, and provenance controls are required for private or executable KEP assets?</w:t>
            </w:r>
          </w:p>
        </w:tc>
        <w:tc>
          <w:tcPr>
            <w:tcW w:type="dxa" w:w="1800"/>
            <w:tcMar>
              <w:top w:w="80" w:type="dxa"/>
              <w:start w:w="90" w:type="dxa"/>
              <w:bottom w:w="80" w:type="dxa"/>
              <w:end w:w="90" w:type="dxa"/>
            </w:tcMar>
            <w:shd w:fill="F5F6F8"/>
            <w:vAlign w:val="top"/>
          </w:tcPr>
          <w:p>
            <w:r/>
            <w:r>
              <w:rPr>
                <w:b w:val="0"/>
              </w:rPr>
              <w:t>Deferred. Security architecture decision.</w:t>
            </w:r>
          </w:p>
        </w:tc>
      </w:tr>
      <w:tr>
        <w:trPr>
          <w:cantSplit/>
        </w:trPr>
        <w:tc>
          <w:tcPr>
            <w:tcW w:type="dxa" w:w="9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UD-009</w:t>
            </w:r>
          </w:p>
        </w:tc>
        <w:tc>
          <w:tcPr>
            <w:tcW w:type="dxa" w:w="244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Evidence storage and retention</w:t>
            </w:r>
          </w:p>
        </w:tc>
        <w:tc>
          <w:tcPr>
            <w:tcW w:type="dxa" w:w="468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Where are evidence records stored, how long are they retained, and what integrity or privacy controls apply?</w:t>
            </w:r>
          </w:p>
        </w:tc>
        <w:tc>
          <w:tcPr>
            <w:tcW w:type="dxa" w:w="1800"/>
            <w:tcMar>
              <w:top w:w="80" w:type="dxa"/>
              <w:start w:w="90" w:type="dxa"/>
              <w:bottom w:w="80" w:type="dxa"/>
              <w:end w:w="90" w:type="dxa"/>
            </w:tcMar>
            <w:vAlign w:val="top"/>
          </w:tcPr>
          <w:p>
            <w:r/>
            <w:r>
              <w:rPr>
                <w:b w:val="0"/>
              </w:rPr>
              <w:t>Deferred. Operational and data-contract decision.</w:t>
            </w:r>
          </w:p>
        </w:tc>
      </w:tr>
      <w:tr>
        <w:trPr>
          <w:cantSplit/>
        </w:trPr>
        <w:tc>
          <w:tcPr>
            <w:tcW w:type="dxa" w:w="9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UD-010</w:t>
            </w:r>
          </w:p>
        </w:tc>
        <w:tc>
          <w:tcPr>
            <w:tcW w:type="dxa" w:w="244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Agent execution log boundary</w:t>
            </w:r>
          </w:p>
        </w:tc>
        <w:tc>
          <w:tcPr>
            <w:tcW w:type="dxa" w:w="468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What agent actions and context must be recorded, what sensitive information must be excluded, and how long are logs retained?</w:t>
            </w:r>
          </w:p>
        </w:tc>
        <w:tc>
          <w:tcPr>
            <w:tcW w:type="dxa" w:w="1800"/>
            <w:tcMar>
              <w:top w:w="80" w:type="dxa"/>
              <w:start w:w="90" w:type="dxa"/>
              <w:bottom w:w="80" w:type="dxa"/>
              <w:end w:w="90" w:type="dxa"/>
            </w:tcMar>
            <w:shd w:fill="F5F6F8"/>
            <w:vAlign w:val="top"/>
          </w:tcPr>
          <w:p>
            <w:r/>
            <w:r>
              <w:rPr>
                <w:b w:val="0"/>
              </w:rPr>
              <w:t>Deferred. Requires privacy, security, and operational policy.</w:t>
            </w:r>
          </w:p>
        </w:tc>
      </w:tr>
      <w:tr>
        <w:trPr>
          <w:cantSplit/>
        </w:trPr>
        <w:tc>
          <w:tcPr>
            <w:tcW w:type="dxa" w:w="9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UD-011</w:t>
            </w:r>
          </w:p>
        </w:tc>
        <w:tc>
          <w:tcPr>
            <w:tcW w:type="dxa" w:w="244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Metric baselines and targets</w:t>
            </w:r>
          </w:p>
        </w:tc>
        <w:tc>
          <w:tcPr>
            <w:tcW w:type="dxa" w:w="468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What numeric targets, sampling, reporting cadence, and anti-gaming controls apply to Section 15 measures?</w:t>
            </w:r>
          </w:p>
        </w:tc>
        <w:tc>
          <w:tcPr>
            <w:tcW w:type="dxa" w:w="1800"/>
            <w:tcMar>
              <w:top w:w="80" w:type="dxa"/>
              <w:start w:w="90" w:type="dxa"/>
              <w:bottom w:w="80" w:type="dxa"/>
              <w:end w:w="90" w:type="dxa"/>
            </w:tcMar>
            <w:vAlign w:val="top"/>
          </w:tcPr>
          <w:p>
            <w:r/>
            <w:r>
              <w:rPr>
                <w:b w:val="0"/>
              </w:rPr>
              <w:t>Deferred. Must be approved after baseline collection.</w:t>
            </w:r>
          </w:p>
        </w:tc>
      </w:tr>
      <w:tr>
        <w:trPr>
          <w:cantSplit/>
        </w:trPr>
        <w:tc>
          <w:tcPr>
            <w:tcW w:type="dxa" w:w="9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UD-012</w:t>
            </w:r>
          </w:p>
        </w:tc>
        <w:tc>
          <w:tcPr>
            <w:tcW w:type="dxa" w:w="244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Platform service admission policy</w:t>
            </w:r>
          </w:p>
        </w:tc>
        <w:tc>
          <w:tcPr>
            <w:tcW w:type="dxa" w:w="468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Under what evidence, funding, SLO, security, and consumer conditions may KEP operate shared runtime services?</w:t>
            </w:r>
          </w:p>
        </w:tc>
        <w:tc>
          <w:tcPr>
            <w:tcW w:type="dxa" w:w="1800"/>
            <w:tcMar>
              <w:top w:w="80" w:type="dxa"/>
              <w:start w:w="90" w:type="dxa"/>
              <w:bottom w:w="80" w:type="dxa"/>
              <w:end w:w="90" w:type="dxa"/>
            </w:tcMar>
            <w:shd w:fill="F5F6F8"/>
            <w:vAlign w:val="top"/>
          </w:tcPr>
          <w:p>
            <w:r/>
            <w:r>
              <w:rPr>
                <w:b w:val="0"/>
              </w:rPr>
              <w:t>Deferred. Required before any mandatory shared runtime is introduced.</w:t>
            </w:r>
          </w:p>
        </w:tc>
      </w:tr>
      <w:tr>
        <w:trPr>
          <w:cantSplit/>
        </w:trPr>
        <w:tc>
          <w:tcPr>
            <w:tcW w:type="dxa" w:w="9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UD-013</w:t>
            </w:r>
          </w:p>
        </w:tc>
        <w:tc>
          <w:tcPr>
            <w:tcW w:type="dxa" w:w="244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Deprecation and support windows</w:t>
            </w:r>
          </w:p>
        </w:tc>
        <w:tc>
          <w:tcPr>
            <w:tcW w:type="dxa" w:w="468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What compatibility commitments, support periods, and deprecation timelines apply to policy, schemas, CLI, skills, and templates?</w:t>
            </w:r>
          </w:p>
        </w:tc>
        <w:tc>
          <w:tcPr>
            <w:tcW w:type="dxa" w:w="1800"/>
            <w:tcMar>
              <w:top w:w="80" w:type="dxa"/>
              <w:start w:w="90" w:type="dxa"/>
              <w:bottom w:w="80" w:type="dxa"/>
              <w:end w:w="90" w:type="dxa"/>
            </w:tcMar>
            <w:vAlign w:val="top"/>
          </w:tcPr>
          <w:p>
            <w:r/>
            <w:r>
              <w:rPr>
                <w:b w:val="0"/>
              </w:rPr>
              <w:t>Deferred. Needed for predictable adoption.</w:t>
            </w:r>
          </w:p>
        </w:tc>
      </w:tr>
      <w:tr>
        <w:trPr>
          <w:cantSplit/>
        </w:trPr>
        <w:tc>
          <w:tcPr>
            <w:tcW w:type="dxa" w:w="9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UD-014</w:t>
            </w:r>
          </w:p>
        </w:tc>
        <w:tc>
          <w:tcPr>
            <w:tcW w:type="dxa" w:w="244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Conflict-of-interest and appeal process</w:t>
            </w:r>
          </w:p>
        </w:tc>
        <w:tc>
          <w:tcPr>
            <w:tcW w:type="dxa" w:w="468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How are disputed findings, exceptions, and decisions appealed, and how are conflicts of interest handled?</w:t>
            </w:r>
          </w:p>
        </w:tc>
        <w:tc>
          <w:tcPr>
            <w:tcW w:type="dxa" w:w="1800"/>
            <w:tcMar>
              <w:top w:w="80" w:type="dxa"/>
              <w:start w:w="90" w:type="dxa"/>
              <w:bottom w:w="80" w:type="dxa"/>
              <w:end w:w="90" w:type="dxa"/>
            </w:tcMar>
            <w:shd w:fill="F5F6F8"/>
            <w:vAlign w:val="top"/>
          </w:tcPr>
          <w:p>
            <w:r/>
            <w:r>
              <w:rPr>
                <w:b w:val="0"/>
              </w:rPr>
              <w:t>Deferred. Governance policy required.</w:t>
            </w:r>
          </w:p>
        </w:tc>
      </w:tr>
      <w:tr>
        <w:trPr>
          <w:cantSplit/>
        </w:trPr>
        <w:tc>
          <w:tcPr>
            <w:tcW w:type="dxa" w:w="936"/>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5"/>
              </w:rPr>
              <w:t>UD-015</w:t>
            </w:r>
          </w:p>
        </w:tc>
        <w:tc>
          <w:tcPr>
            <w:tcW w:type="dxa" w:w="2448"/>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Migration enforcement</w:t>
            </w:r>
          </w:p>
        </w:tc>
        <w:tc>
          <w:tcPr>
            <w:tcW w:type="dxa" w:w="4680"/>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5"/>
              </w:rPr>
              <w:t>Is adoption voluntary, portfolio-mandated, or risk-triggered for existing products, and what deadlines or funding apply?</w:t>
            </w:r>
          </w:p>
        </w:tc>
        <w:tc>
          <w:tcPr>
            <w:tcW w:type="dxa" w:w="1800"/>
            <w:tcMar>
              <w:top w:w="80" w:type="dxa"/>
              <w:start w:w="90" w:type="dxa"/>
              <w:bottom w:w="80" w:type="dxa"/>
              <w:end w:w="90" w:type="dxa"/>
            </w:tcMar>
            <w:vAlign w:val="top"/>
          </w:tcPr>
          <w:p>
            <w:r/>
            <w:r>
              <w:rPr>
                <w:b w:val="0"/>
              </w:rPr>
              <w:t>Deferred. Executive/platform governance decision.</w:t>
            </w:r>
          </w:p>
        </w:tc>
      </w:tr>
      <w:tr>
        <w:trPr>
          <w:cantSplit/>
        </w:trPr>
        <w:tc>
          <w:tcPr>
            <w:tcW w:type="dxa" w:w="936"/>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5"/>
              </w:rPr>
              <w:t>UD-016</w:t>
            </w:r>
          </w:p>
        </w:tc>
        <w:tc>
          <w:tcPr>
            <w:tcW w:type="dxa" w:w="2448"/>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Licensing and external distribution</w:t>
            </w:r>
          </w:p>
        </w:tc>
        <w:tc>
          <w:tcPr>
            <w:tcW w:type="dxa" w:w="4680"/>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5"/>
              </w:rPr>
              <w:t>Will KEP assets be private, source-available, open-source, or distributed under multiple licenses?</w:t>
            </w:r>
          </w:p>
        </w:tc>
        <w:tc>
          <w:tcPr>
            <w:tcW w:type="dxa" w:w="1800"/>
            <w:tcMar>
              <w:top w:w="80" w:type="dxa"/>
              <w:start w:w="90" w:type="dxa"/>
              <w:bottom w:w="80" w:type="dxa"/>
              <w:end w:w="90" w:type="dxa"/>
            </w:tcMar>
            <w:shd w:fill="F5F6F8"/>
            <w:vAlign w:val="top"/>
          </w:tcPr>
          <w:p>
            <w:r/>
            <w:r>
              <w:rPr>
                <w:b w:val="0"/>
              </w:rPr>
              <w:t>Resolved by KEP-001A and incorporated into KEP-001 Version 1.0.</w:t>
            </w:r>
          </w:p>
        </w:tc>
      </w:tr>
    </w:tbl>
    <w:p>
      <w:pPr>
        <w:spacing w:after="40"/>
        <w:widowControl w:val="true"/>
      </w:pPr>
    </w:p>
    <w:p>
      <w:pPr>
        <w:pStyle w:val="Heading2"/>
        <w:keepNext/>
        <w:widowControl w:val="true"/>
      </w:pPr>
      <w:r>
        <w:t>19.1 Decision Status and Handling Rule</w:t>
      </w:r>
    </w:p>
    <w:p>
      <w:pPr>
        <w:spacing w:after="100" w:line="269" w:lineRule="auto"/>
        <w:widowControl w:val="true"/>
      </w:pPr>
      <w:r>
        <w:t>A resolved decision SHALL be implemented only within the boundary stated in KEP-001A and this document. An implementation MAY prototype a deferred area only when the prototype is clearly marked non-authoritative, isolated, reversible, and does not create a de facto standard. A prototype does not close a deferred decision.</w:t>
      </w:r>
    </w:p>
    <w:p>
      <w:pPr>
        <w:pStyle w:val="Heading1"/>
        <w:keepNext/>
        <w:widowControl w:val="true"/>
      </w:pPr>
      <w:r>
        <w:rPr>
          <w:rFonts w:ascii="Liberation Sans" w:hAnsi="Liberation Sans" w:eastAsia="Liberation Sans"/>
        </w:rPr>
        <w:t>20. Conformance, Exceptions, and Evolution</w:t>
      </w:r>
    </w:p>
    <w:p>
      <w:pPr>
        <w:pStyle w:val="Heading2"/>
        <w:keepNext/>
        <w:widowControl w:val="true"/>
      </w:pPr>
      <w:r>
        <w:rPr>
          <w:rFonts w:ascii="Liberation Sans" w:hAnsi="Liberation Sans" w:eastAsia="Liberation Sans"/>
        </w:rPr>
        <w:t>20.1 Conformance</w:t>
      </w:r>
    </w:p>
    <w:p>
      <w:pPr/>
      <w:r>
        <w:t>Conformance with KEP-001 includes conformance with KEP-001A for all decisions marked resolved in Section 19.</w:t>
      </w:r>
    </w:p>
    <w:p>
      <w:pPr>
        <w:spacing w:after="100" w:line="269" w:lineRule="auto"/>
        <w:widowControl w:val="true"/>
      </w:pPr>
      <w:r>
        <w:rPr>
          <w:rFonts w:ascii="Liberation Sans" w:hAnsi="Liberation Sans" w:eastAsia="Liberation Sans"/>
          <w:i w:val="0"/>
        </w:rPr>
        <w:t>A KEP capability or adopting product conforms to KEP-001 when it: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Respects the platform-product boundary and decision rights defined here.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Identifies its governing KEP version and adopted capability set.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Maintains applicable ownership, authoritative sources, contracts, evidence, gates, and exceptions.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Does not represent deferred, not-run, assumed, or placeholder work as complete.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Uses the capability placement test before moving product-originated capability into KEP.</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Captures material learning and reports conflicts or gaps.</w:t>
      </w:r>
    </w:p>
    <w:p>
      <w:pPr>
        <w:pStyle w:val="Heading2"/>
        <w:keepNext/>
        <w:widowControl w:val="true"/>
      </w:pPr>
      <w:r>
        <w:rPr>
          <w:rFonts w:ascii="Liberation Sans" w:hAnsi="Liberation Sans" w:eastAsia="Liberation Sans"/>
        </w:rPr>
        <w:t>20.2 Exceptions</w:t>
      </w:r>
    </w:p>
    <w:p>
      <w:pPr>
        <w:spacing w:after="100" w:line="269" w:lineRule="auto"/>
        <w:widowControl w:val="true"/>
      </w:pPr>
      <w:r>
        <w:rPr>
          <w:rFonts w:ascii="Liberation Sans" w:hAnsi="Liberation Sans" w:eastAsia="Liberation Sans"/>
          <w:i w:val="0"/>
        </w:rPr>
        <w:t>An exception to this document SHALL follow KEP-000 and identify the rule, rationale, affected scope, risk, compensating controls, approving authority, owner, and review or expiration condition. No exception may alter KEP-000 authority or human accountability without constitutional amendment.</w:t>
      </w:r>
    </w:p>
    <w:p>
      <w:pPr>
        <w:pStyle w:val="Heading2"/>
        <w:keepNext/>
        <w:widowControl w:val="true"/>
      </w:pPr>
      <w:r>
        <w:rPr>
          <w:rFonts w:ascii="Liberation Sans" w:hAnsi="Liberation Sans" w:eastAsia="Liberation Sans"/>
        </w:rPr>
        <w:t>20.3 Amendment Classification</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3360"/>
        <w:gridCol w:w="3360"/>
        <w:gridCol w:w="3360"/>
      </w:tblGrid>
      <w:tr>
        <w:trPr>
          <w:tblHeader w:val="true"/>
        </w:trPr>
        <w:tc>
          <w:tcPr>
            <w:tcW w:type="dxa" w:w="2015"/>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Change type</w:t>
            </w:r>
          </w:p>
        </w:tc>
        <w:tc>
          <w:tcPr>
            <w:tcW w:type="dxa" w:w="4031"/>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Examples</w:t>
            </w:r>
          </w:p>
        </w:tc>
        <w:tc>
          <w:tcPr>
            <w:tcW w:type="dxa" w:w="3744"/>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Required handling</w:t>
            </w:r>
          </w:p>
        </w:tc>
      </w:tr>
      <w:tr>
        <w:trPr>
          <w:cantSplit/>
        </w:trPr>
        <w:tc>
          <w:tcPr>
            <w:tcW w:type="dxa" w:w="2015"/>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Editorial</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Clarification, formatting, broken references, non-normative examples.</w:t>
            </w:r>
          </w:p>
        </w:tc>
        <w:tc>
          <w:tcPr>
            <w:tcW w:type="dxa" w:w="3744"/>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Governance-maintained version update; no change to obligations.</w:t>
            </w:r>
          </w:p>
        </w:tc>
      </w:tr>
      <w:tr>
        <w:trPr>
          <w:cantSplit/>
        </w:trPr>
        <w:tc>
          <w:tcPr>
            <w:tcW w:type="dxa" w:w="2015"/>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Minor normative</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New detail that does not change mission, platform-product boundary, authority, or mandatory subsystem scope.</w:t>
            </w:r>
          </w:p>
        </w:tc>
        <w:tc>
          <w:tcPr>
            <w:tcW w:type="dxa" w:w="3744"/>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Formal policy review and version increment.</w:t>
            </w:r>
          </w:p>
        </w:tc>
      </w:tr>
      <w:tr>
        <w:trPr>
          <w:cantSplit/>
        </w:trPr>
        <w:tc>
          <w:tcPr>
            <w:tcW w:type="dxa" w:w="2015"/>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Material</w:t>
            </w:r>
          </w:p>
        </w:tc>
        <w:tc>
          <w:tcPr>
            <w:tcW w:type="dxa" w:w="4031"/>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Change to platform scope, decision rights, mandatory lifecycle, v0.1 boundary, or capability placement.</w:t>
            </w:r>
          </w:p>
        </w:tc>
        <w:tc>
          <w:tcPr>
            <w:tcW w:type="dxa" w:w="3744"/>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Ratification by the designated KEP-001 authority with migration impact.</w:t>
            </w:r>
          </w:p>
        </w:tc>
      </w:tr>
      <w:tr>
        <w:trPr>
          <w:cantSplit/>
        </w:trPr>
        <w:tc>
          <w:tcPr>
            <w:tcW w:type="dxa" w:w="2015"/>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Constitutional</w:t>
            </w:r>
          </w:p>
        </w:tc>
        <w:tc>
          <w:tcPr>
            <w:tcW w:type="dxa" w:w="4031"/>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Change to KEP mission, core principles, precedence, or human accountability.</w:t>
            </w:r>
          </w:p>
        </w:tc>
        <w:tc>
          <w:tcPr>
            <w:tcW w:type="dxa" w:w="3744"/>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Amend KEP-000 under its constitutional change process.</w:t>
            </w:r>
          </w:p>
        </w:tc>
      </w:tr>
    </w:tbl>
    <w:p>
      <w:pPr>
        <w:spacing w:after="40"/>
        <w:widowControl w:val="true"/>
      </w:pPr>
    </w:p>
    <w:p>
      <w:pPr>
        <w:pStyle w:val="Heading2"/>
        <w:keepNext/>
        <w:widowControl w:val="true"/>
      </w:pPr>
      <w:r>
        <w:rPr>
          <w:rFonts w:ascii="Liberation Sans" w:hAnsi="Liberation Sans" w:eastAsia="Liberation Sans"/>
        </w:rPr>
        <w:t>20.4 Reconsideration Triggers</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Repeated product exceptions indicate a platform rule does not fit actual risk or context.</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platform capability produces more support cost or coupling than measurable value.</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 new legal, security, operational, organizational, or technology constraint materially changes the risk model.</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Agent capabilities or failure modes change the adequacy of the Agent Operating Layer.</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Products cannot adopt KEP without disproportionate migration cost or delivery disruption.</w:t>
      </w:r>
    </w:p>
    <w:p>
      <w:pPr>
        <w:pStyle w:val="KEPBullet"/>
        <w:spacing w:after="40" w:line="269" w:lineRule="auto"/>
        <w:widowControl w:val="true"/>
      </w:pPr>
      <w:r>
        <w:rPr>
          <w:rFonts w:ascii="Liberation Sans" w:hAnsi="Liberation Sans" w:eastAsia="Liberation Sans"/>
          <w:i w:val="0"/>
        </w:rPr>
      </w:r>
      <w:r>
        <w:rPr>
          <w:rFonts w:ascii="Liberation Sans" w:hAnsi="Liberation Sans" w:eastAsia="Liberation Sans"/>
          <w:b/>
          <w:i w:val="0"/>
          <w:color w:val="2F75B5"/>
        </w:rPr>
        <w:t>•</w:t>
        <w:tab/>
      </w:r>
      <w:r>
        <w:rPr>
          <w:rFonts w:ascii="Liberation Sans" w:hAnsi="Liberation Sans" w:eastAsia="Liberation Sans"/>
          <w:b w:val="0"/>
          <w:i w:val="0"/>
        </w:rPr>
        <w:t>Metrics show stagnant or worsening quality, flow, trust, or knowledge survivability.</w:t>
      </w:r>
    </w:p>
    <w:p>
      <w:pPr>
        <w:widowControl w:val="true"/>
      </w:pPr>
      <w:r>
        <w:rPr>
          <w:rFonts w:ascii="Liberation Sans" w:hAnsi="Liberation Sans" w:eastAsia="Liberation Sans"/>
        </w:rPr>
        <w:br w:type="page"/>
      </w:r>
    </w:p>
    <w:p>
      <w:pPr>
        <w:pStyle w:val="Heading1"/>
        <w:keepNext/>
        <w:widowControl w:val="true"/>
      </w:pPr>
      <w:r>
        <w:rPr>
          <w:rFonts w:ascii="Liberation Sans" w:hAnsi="Liberation Sans" w:eastAsia="Liberation Sans"/>
        </w:rPr>
        <w:t>21. Ratification and Revision History</w:t>
      </w:r>
    </w:p>
    <w:p>
      <w:pPr>
        <w:pStyle w:val="Heading2"/>
        <w:keepNext/>
        <w:widowControl w:val="true"/>
      </w:pPr>
      <w:r>
        <w:rPr>
          <w:rFonts w:ascii="Liberation Sans" w:hAnsi="Liberation Sans" w:eastAsia="Liberation Sans"/>
        </w:rPr>
        <w:t>21.1 Ratification</w:t>
      </w:r>
    </w:p>
    <w:tbl>
      <w:tblPr>
        <w:tblW w:type="auto" w:w="0"/>
        <w:jc w:val="center"/>
        <w:tblLayout w:type="fixed"/>
        <w:tblLook w:firstColumn="1" w:firstRow="1" w:lastColumn="0" w:lastRow="0" w:noHBand="0" w:noVBand="1" w:val="04A0"/>
        <w:tblBorders>
          <w:top w:val="single" w:sz="6" w:space="0" w:color="B8BEC7"/>
          <w:left w:val="single" w:sz="6" w:space="0" w:color="B8BEC7"/>
          <w:bottom w:val="single" w:sz="6" w:space="0" w:color="B8BEC7"/>
          <w:right w:val="single" w:sz="6" w:space="0" w:color="B8BEC7"/>
          <w:insideH w:val="single" w:sz="6" w:space="0" w:color="B8BEC7"/>
          <w:insideV w:val="single" w:sz="6" w:space="0" w:color="B8BEC7"/>
        </w:tblBorders>
      </w:tblPr>
      <w:tblGrid>
        <w:gridCol w:w="5040"/>
        <w:gridCol w:w="5040"/>
      </w:tblGrid>
      <w:tr>
        <w:tc>
          <w:tcPr>
            <w:tcW w:type="dxa" w:w="3168"/>
            <w:tcMar>
              <w:top w:w="140" w:type="dxa"/>
              <w:start w:w="120" w:type="dxa"/>
              <w:bottom w:w="140" w:type="dxa"/>
              <w:end w:w="120" w:type="dxa"/>
            </w:tcMar>
            <w:shd w:fill="EEF5FB"/>
          </w:tcPr>
          <w:p>
            <w:pPr>
              <w:spacing w:after="0"/>
            </w:pPr>
            <w:r>
              <w:rPr>
                <w:rFonts w:ascii="Liberation Sans" w:hAnsi="Liberation Sans" w:eastAsia="Liberation Sans"/>
                <w:b/>
                <w:sz w:val="18"/>
              </w:rPr>
              <w:t>Ratified By</w:t>
            </w:r>
          </w:p>
        </w:tc>
        <w:tc>
          <w:tcPr>
            <w:tcW w:type="dxa" w:w="6480"/>
            <w:tcMar>
              <w:top w:w="140" w:type="dxa"/>
              <w:start w:w="120" w:type="dxa"/>
              <w:bottom w:w="140" w:type="dxa"/>
              <w:end w:w="120" w:type="dxa"/>
            </w:tcMar>
          </w:tcPr>
          <w:p>
            <w:r/>
            <w:r>
              <w:rPr>
                <w:b w:val="0"/>
              </w:rPr>
              <w:t>Kashif Muhammad Younus</w:t>
            </w:r>
          </w:p>
        </w:tc>
      </w:tr>
      <w:tr>
        <w:tc>
          <w:tcPr>
            <w:tcW w:type="dxa" w:w="3168"/>
            <w:tcMar>
              <w:top w:w="140" w:type="dxa"/>
              <w:start w:w="120" w:type="dxa"/>
              <w:bottom w:w="140" w:type="dxa"/>
              <w:end w:w="120" w:type="dxa"/>
            </w:tcMar>
            <w:shd w:fill="EEF5FB"/>
          </w:tcPr>
          <w:p>
            <w:pPr>
              <w:spacing w:after="0"/>
            </w:pPr>
            <w:r>
              <w:rPr>
                <w:rFonts w:ascii="Liberation Sans" w:hAnsi="Liberation Sans" w:eastAsia="Liberation Sans"/>
                <w:b/>
                <w:sz w:val="18"/>
              </w:rPr>
              <w:t>Role / Authority</w:t>
            </w:r>
          </w:p>
        </w:tc>
        <w:tc>
          <w:tcPr>
            <w:tcW w:type="dxa" w:w="6480"/>
            <w:tcMar>
              <w:top w:w="140" w:type="dxa"/>
              <w:start w:w="120" w:type="dxa"/>
              <w:bottom w:w="140" w:type="dxa"/>
              <w:end w:w="120" w:type="dxa"/>
            </w:tcMar>
          </w:tcPr>
          <w:p>
            <w:r/>
            <w:r>
              <w:rPr>
                <w:b w:val="0"/>
              </w:rPr>
              <w:t>Founding Authority</w:t>
            </w:r>
          </w:p>
        </w:tc>
      </w:tr>
      <w:tr>
        <w:tc>
          <w:tcPr>
            <w:tcW w:type="dxa" w:w="3168"/>
            <w:tcMar>
              <w:top w:w="140" w:type="dxa"/>
              <w:start w:w="120" w:type="dxa"/>
              <w:bottom w:w="140" w:type="dxa"/>
              <w:end w:w="120" w:type="dxa"/>
            </w:tcMar>
            <w:shd w:fill="EEF5FB"/>
          </w:tcPr>
          <w:p>
            <w:pPr>
              <w:spacing w:after="0"/>
            </w:pPr>
            <w:r>
              <w:rPr>
                <w:rFonts w:ascii="Liberation Sans" w:hAnsi="Liberation Sans" w:eastAsia="Liberation Sans"/>
                <w:b/>
                <w:sz w:val="18"/>
              </w:rPr>
              <w:t>Decision Record</w:t>
            </w:r>
          </w:p>
        </w:tc>
        <w:tc>
          <w:tcPr>
            <w:tcW w:type="dxa" w:w="6480"/>
            <w:tcMar>
              <w:top w:w="140" w:type="dxa"/>
              <w:start w:w="120" w:type="dxa"/>
              <w:bottom w:w="140" w:type="dxa"/>
              <w:end w:w="120" w:type="dxa"/>
            </w:tcMar>
          </w:tcPr>
          <w:p>
            <w:r/>
            <w:r>
              <w:rPr>
                <w:b w:val="0"/>
              </w:rPr>
              <w:t>KEP-001A - Founding Ratification Decisions, Version 1.0</w:t>
            </w:r>
          </w:p>
        </w:tc>
      </w:tr>
      <w:tr>
        <w:tc>
          <w:tcPr>
            <w:tcW w:type="dxa" w:w="3168"/>
            <w:tcMar>
              <w:top w:w="140" w:type="dxa"/>
              <w:start w:w="120" w:type="dxa"/>
              <w:bottom w:w="140" w:type="dxa"/>
              <w:end w:w="120" w:type="dxa"/>
            </w:tcMar>
            <w:shd w:fill="EEF5FB"/>
          </w:tcPr>
          <w:p>
            <w:pPr>
              <w:spacing w:after="0"/>
            </w:pPr>
            <w:r>
              <w:rPr>
                <w:rFonts w:ascii="Liberation Sans" w:hAnsi="Liberation Sans" w:eastAsia="Liberation Sans"/>
                <w:b/>
                <w:sz w:val="18"/>
              </w:rPr>
              <w:t>Effective Date</w:t>
            </w:r>
          </w:p>
        </w:tc>
        <w:tc>
          <w:tcPr>
            <w:tcW w:type="dxa" w:w="6480"/>
            <w:tcMar>
              <w:top w:w="140" w:type="dxa"/>
              <w:start w:w="120" w:type="dxa"/>
              <w:bottom w:w="140" w:type="dxa"/>
              <w:end w:w="120" w:type="dxa"/>
            </w:tcMar>
          </w:tcPr>
          <w:p>
            <w:r/>
            <w:r>
              <w:rPr>
                <w:b w:val="0"/>
              </w:rPr>
              <w:t>July 16, 2026</w:t>
            </w:r>
          </w:p>
        </w:tc>
      </w:tr>
      <w:tr>
        <w:tc>
          <w:tcPr>
            <w:tcW w:type="dxa" w:w="3168"/>
            <w:tcMar>
              <w:top w:w="140" w:type="dxa"/>
              <w:start w:w="120" w:type="dxa"/>
              <w:bottom w:w="140" w:type="dxa"/>
              <w:end w:w="120" w:type="dxa"/>
            </w:tcMar>
            <w:shd w:fill="EEF5FB"/>
          </w:tcPr>
          <w:p>
            <w:pPr>
              <w:spacing w:after="0"/>
            </w:pPr>
            <w:r>
              <w:rPr>
                <w:rFonts w:ascii="Liberation Sans" w:hAnsi="Liberation Sans" w:eastAsia="Liberation Sans"/>
                <w:b/>
                <w:sz w:val="18"/>
              </w:rPr>
              <w:t>Signature or Approved Record</w:t>
            </w:r>
          </w:p>
        </w:tc>
        <w:tc>
          <w:tcPr>
            <w:tcW w:type="dxa" w:w="6480"/>
            <w:tcMar>
              <w:top w:w="140" w:type="dxa"/>
              <w:start w:w="120" w:type="dxa"/>
              <w:bottom w:w="140" w:type="dxa"/>
              <w:end w:w="120" w:type="dxa"/>
            </w:tcMar>
          </w:tcPr>
          <w:p>
            <w:r/>
            <w:r>
              <w:rPr>
                <w:b w:val="0"/>
              </w:rPr>
              <w:t>Kashif Muhammad Younus — digitally approved</w:t>
            </w:r>
          </w:p>
        </w:tc>
      </w:tr>
    </w:tbl>
    <w:p>
      <w:pPr>
        <w:widowControl w:val="true"/>
      </w:pPr>
    </w:p>
    <w:p>
      <w:pPr>
        <w:pStyle w:val="Heading2"/>
        <w:keepNext/>
        <w:widowControl w:val="true"/>
      </w:pPr>
      <w:r>
        <w:rPr>
          <w:rFonts w:ascii="Liberation Sans" w:hAnsi="Liberation Sans" w:eastAsia="Liberation Sans"/>
        </w:rPr>
        <w:t>21.2 Revision History</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2520"/>
        <w:gridCol w:w="2520"/>
        <w:gridCol w:w="2520"/>
        <w:gridCol w:w="2520"/>
      </w:tblGrid>
      <w:tr>
        <w:trPr>
          <w:tblHeader w:val="true"/>
        </w:trPr>
        <w:tc>
          <w:tcPr>
            <w:tcW w:type="dxa" w:w="144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Version</w:t>
            </w:r>
          </w:p>
        </w:tc>
        <w:tc>
          <w:tcPr>
            <w:tcW w:type="dxa" w:w="180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Date</w:t>
            </w:r>
          </w:p>
        </w:tc>
        <w:tc>
          <w:tcPr>
            <w:tcW w:type="dxa" w:w="2088"/>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Status</w:t>
            </w:r>
          </w:p>
        </w:tc>
        <w:tc>
          <w:tcPr>
            <w:tcW w:type="dxa" w:w="4464"/>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Summary</w:t>
            </w:r>
          </w:p>
        </w:tc>
      </w:tr>
      <w:tr>
        <w:trPr>
          <w:cantSplit/>
        </w:trPr>
        <w:tc>
          <w:tcPr>
            <w:tcW w:type="dxa" w:w="1440"/>
            <w:tcMar>
              <w:top w:w="80" w:type="dxa"/>
              <w:start w:w="90" w:type="dxa"/>
              <w:bottom w:w="80" w:type="dxa"/>
              <w:end w:w="90" w:type="dxa"/>
            </w:tcMar>
            <w:vAlign w:val="top"/>
          </w:tcPr>
          <w:p>
            <w:r/>
            <w:r>
              <w:rPr>
                <w:b w:val="0"/>
              </w:rPr>
              <w:t>1.0</w:t>
            </w:r>
          </w:p>
        </w:tc>
        <w:tc>
          <w:tcPr>
            <w:tcW w:type="dxa" w:w="1800"/>
            <w:tcMar>
              <w:top w:w="80" w:type="dxa"/>
              <w:start w:w="90" w:type="dxa"/>
              <w:bottom w:w="80" w:type="dxa"/>
              <w:end w:w="90" w:type="dxa"/>
            </w:tcMar>
            <w:vAlign w:val="top"/>
          </w:tcPr>
          <w:p>
            <w:r/>
            <w:r>
              <w:rPr>
                <w:b w:val="0"/>
              </w:rPr>
              <w:t>July 16, 2026</w:t>
            </w:r>
          </w:p>
        </w:tc>
        <w:tc>
          <w:tcPr>
            <w:tcW w:type="dxa" w:w="2088"/>
            <w:tcMar>
              <w:top w:w="80" w:type="dxa"/>
              <w:start w:w="90" w:type="dxa"/>
              <w:bottom w:w="80" w:type="dxa"/>
              <w:end w:w="90" w:type="dxa"/>
            </w:tcMar>
            <w:vAlign w:val="top"/>
          </w:tcPr>
          <w:p>
            <w:r/>
            <w:r>
              <w:rPr>
                <w:b w:val="0"/>
              </w:rPr>
              <w:t>Ratified</w:t>
            </w:r>
          </w:p>
        </w:tc>
        <w:tc>
          <w:tcPr>
            <w:tcW w:type="dxa" w:w="4464"/>
            <w:tcMar>
              <w:top w:w="80" w:type="dxa"/>
              <w:start w:w="90" w:type="dxa"/>
              <w:bottom w:w="80" w:type="dxa"/>
              <w:end w:w="90" w:type="dxa"/>
            </w:tcMar>
            <w:vAlign w:val="top"/>
          </w:tcPr>
          <w:p>
            <w:r/>
            <w:r>
              <w:rPr>
                <w:b w:val="0"/>
              </w:rPr>
              <w:t>Foundational platform scope and operating model; incorporates founding decisions through KEP-001A, including ownership, governance cadence, repository topology, artifact formats, validation contexts, risk classes, CLI direction, and licensing boundary.</w:t>
            </w:r>
          </w:p>
        </w:tc>
      </w:tr>
    </w:tbl>
    <w:p>
      <w:pPr>
        <w:spacing w:after="40"/>
        <w:widowControl w:val="true"/>
      </w:pPr>
    </w:p>
    <w:p>
      <w:pPr>
        <w:pStyle w:val="Heading2"/>
        <w:keepNext/>
        <w:widowControl w:val="true"/>
      </w:pPr>
      <w:r>
        <w:rPr>
          <w:rFonts w:ascii="Liberation Sans" w:hAnsi="Liberation Sans" w:eastAsia="Liberation Sans"/>
        </w:rPr>
        <w:t>21.3 Foundational Statement</w:t>
      </w:r>
    </w:p>
    <w:tbl>
      <w:tblPr>
        <w:tblW w:type="auto" w:w="0"/>
        <w:jc w:val="center"/>
        <w:tblLayout w:type="autofit"/>
        <w:tblLook w:firstColumn="1" w:firstRow="1" w:lastColumn="0" w:lastRow="0" w:noHBand="0" w:noVBand="1" w:val="04A0"/>
        <w:tblBorders>
          <w:top w:val="single" w:sz="10" w:space="0" w:color="2F75B5"/>
          <w:left w:val="single" w:sz="10" w:space="0" w:color="2F75B5"/>
          <w:bottom w:val="single" w:sz="10" w:space="0" w:color="2F75B5"/>
          <w:right w:val="single" w:sz="10" w:space="0" w:color="2F75B5"/>
          <w:insideH w:val="single" w:sz="10" w:space="0" w:color="2F75B5"/>
          <w:insideV w:val="single" w:sz="10" w:space="0" w:color="2F75B5"/>
        </w:tblBorders>
      </w:tblPr>
      <w:tblGrid>
        <w:gridCol w:w="10080"/>
      </w:tblGrid>
      <w:tr>
        <w:tc>
          <w:tcPr>
            <w:tcW w:type="dxa" w:w="10080"/>
            <w:shd w:fill="E2F0D9"/>
            <w:tcMar>
              <w:top w:w="150" w:type="dxa"/>
              <w:start w:w="180" w:type="dxa"/>
              <w:bottom w:w="150" w:type="dxa"/>
              <w:end w:w="180" w:type="dxa"/>
            </w:tcMar>
          </w:tcPr>
          <w:p>
            <w:pPr>
              <w:spacing w:after="80"/>
            </w:pPr>
            <w:r>
              <w:rPr>
                <w:rFonts w:ascii="Liberation Sans" w:hAnsi="Liberation Sans" w:eastAsia="Liberation Sans"/>
                <w:b/>
                <w:i w:val="0"/>
                <w:color w:val="17365D"/>
                <w:sz w:val="21"/>
              </w:rPr>
              <w:t>KEP operating commitment</w:t>
            </w:r>
          </w:p>
          <w:p>
            <w:pPr>
              <w:spacing w:after="0" w:line="259" w:lineRule="auto"/>
            </w:pPr>
            <w:r>
              <w:rPr>
                <w:rFonts w:ascii="Liberation Sans" w:hAnsi="Liberation Sans" w:eastAsia="Liberation Sans"/>
                <w:b w:val="0"/>
                <w:i w:val="0"/>
                <w:color w:val="1F2937"/>
                <w:sz w:val="19"/>
              </w:rPr>
              <w:t>KEP shall make disciplined engineering reusable without making products dependent, knowledge durable without making process excessive, and AI-assisted execution faster without weakening evidence or human accountability.</w:t>
            </w:r>
          </w:p>
        </w:tc>
      </w:tr>
    </w:tbl>
    <w:p>
      <w:pPr>
        <w:spacing w:after="40"/>
        <w:widowControl w:val="true"/>
      </w:pPr>
    </w:p>
    <w:p>
      <w:pPr>
        <w:widowControl w:val="true"/>
      </w:pPr>
      <w:r>
        <w:rPr>
          <w:rFonts w:ascii="Liberation Sans" w:hAnsi="Liberation Sans" w:eastAsia="Liberation Sans"/>
        </w:rPr>
        <w:br w:type="page"/>
      </w:r>
    </w:p>
    <w:p>
      <w:pPr>
        <w:pStyle w:val="Heading1"/>
        <w:keepNext/>
        <w:widowControl w:val="true"/>
      </w:pPr>
      <w:r>
        <w:rPr>
          <w:rFonts w:ascii="Liberation Sans" w:hAnsi="Liberation Sans" w:eastAsia="Liberation Sans"/>
        </w:rPr>
        <w:t>Appendix A - Boundary Summary</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5040"/>
        <w:gridCol w:w="5040"/>
      </w:tblGrid>
      <w:tr>
        <w:trPr>
          <w:tblHeader w:val="true"/>
        </w:trPr>
        <w:tc>
          <w:tcPr>
            <w:tcW w:type="dxa" w:w="288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Question</w:t>
            </w:r>
          </w:p>
        </w:tc>
        <w:tc>
          <w:tcPr>
            <w:tcW w:type="dxa" w:w="6912"/>
            <w:shd w:fill="17365D"/>
            <w:tcMar>
              <w:top w:w="100" w:type="dxa"/>
              <w:start w:w="90" w:type="dxa"/>
              <w:bottom w:w="100" w:type="dxa"/>
              <w:end w:w="90" w:type="dxa"/>
            </w:tcMar>
          </w:tcPr>
          <w:p>
            <w:pPr>
              <w:spacing w:after="0"/>
              <w:jc w:val="left"/>
            </w:pPr>
            <w:r>
              <w:rPr>
                <w:rFonts w:ascii="Liberation Sans" w:hAnsi="Liberation Sans" w:eastAsia="Liberation Sans"/>
                <w:b/>
                <w:color w:val="FFFFFF"/>
                <w:sz w:val="16"/>
              </w:rPr>
              <w:t>KEP answer</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What does KEP solve?</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Cross-product engineering problems of intent loss, ambiguity, fragmented knowledge, inconsistent quality, uncontrolled AI work, repeated reinvention, drift, hidden coupling, tool lock-in, and failure to learn.</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What is KEP?</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A federated, governed engineering operating platform composed of contracts, knowledge, architecture, reusable methods, verification, quality gates, operational interfaces, and an agent operating layer.</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What is KEP not?</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A product, product-domain owner, single vendor toolchain, universal runtime, guaranteed certification, or speculative shared framework.</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Who owns the product?</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The product owner and product technical/operational authorities.</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Who owns KEP?</w:t>
            </w:r>
          </w:p>
        </w:tc>
        <w:tc>
          <w:tcPr>
            <w:tcW w:type="dxa" w:w="6912"/>
            <w:tcMar>
              <w:top w:w="80" w:type="dxa"/>
              <w:start w:w="90" w:type="dxa"/>
              <w:bottom w:w="80" w:type="dxa"/>
              <w:end w:w="90" w:type="dxa"/>
            </w:tcMar>
            <w:vAlign w:val="top"/>
          </w:tcPr>
          <w:p>
            <w:r/>
            <w:r>
              <w:rPr>
                <w:b w:val="0"/>
              </w:rPr>
              <w:t>Kashif Muhammad Younus serves as Founding Authority, Platform Owner, Governance Steward, Platform Architecture Authority, Quality Gate Authority, and Platform Release Authority for founding-stage KEP operation, with CTO architecture-review support for the architecture function.</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What belongs in KEP?</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Product-independent, governed, reusable capabilities whose value and risk justify central ownership and whose boundaries can be versioned without uncontrolled coupling.</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What remains in products?</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Domain meaning, business rules, product data, product-specific workflows, product architecture decisions, release cadence, and operations.</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What is v0.1?</w:t>
            </w:r>
          </w:p>
        </w:tc>
        <w:tc>
          <w:tcPr>
            <w:tcW w:type="dxa" w:w="6912"/>
            <w:tcMar>
              <w:top w:w="80" w:type="dxa"/>
              <w:start w:w="90" w:type="dxa"/>
              <w:bottom w:w="80" w:type="dxa"/>
              <w:end w:w="90" w:type="dxa"/>
            </w:tcMar>
            <w:shd w:fill="F5F6F8"/>
            <w:vAlign w:val="top"/>
          </w:tcPr>
          <w:p>
            <w:r/>
            <w:r>
              <w:rPr>
                <w:b w:val="0"/>
              </w:rPr>
              <w:t>The minimum governed foundation: one canonical repository, scope and contracts, knowledge structure, initial skills/playbooks/templates, a vendor-neutral CLI contract and approved implementation direction, verification, proportional R0-R4 gates, agent controls, and representative validation in two technically distinct contexts before general v1.0 release.</w:t>
            </w:r>
          </w:p>
        </w:tc>
      </w:tr>
      <w:tr>
        <w:trPr>
          <w:cantSplit/>
        </w:trPr>
        <w:tc>
          <w:tcPr>
            <w:tcW w:type="dxa" w:w="288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6"/>
              </w:rPr>
              <w:t>What is deferred?</w:t>
            </w:r>
          </w:p>
        </w:tc>
        <w:tc>
          <w:tcPr>
            <w:tcW w:type="dxa" w:w="691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6"/>
              </w:rPr>
              <w:t>Mandatory shared runtime, autonomous multi-agent engine, universal CI/CD or cloud orchestration, enterprise platform administration, and complete automated assurance.</w:t>
            </w:r>
          </w:p>
        </w:tc>
      </w:tr>
      <w:tr>
        <w:trPr>
          <w:cantSplit/>
        </w:trPr>
        <w:tc>
          <w:tcPr>
            <w:tcW w:type="dxa" w:w="288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6"/>
              </w:rPr>
              <w:t>How does KEP improve?</w:t>
            </w:r>
          </w:p>
        </w:tc>
        <w:tc>
          <w:tcPr>
            <w:tcW w:type="dxa" w:w="691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6"/>
              </w:rPr>
              <w:t>Through a controlled product-to-platform feedback loop that captures, validates, generalizes, approves, packages, adopts, measures, and retires capabilities.</w:t>
            </w:r>
          </w:p>
        </w:tc>
      </w:tr>
    </w:tbl>
    <w:p>
      <w:pPr>
        <w:spacing w:after="40"/>
        <w:widowControl w:val="true"/>
      </w:pPr>
    </w:p>
    <w:p>
      <w:pPr>
        <w:pStyle w:val="Heading1"/>
        <w:keepNext/>
        <w:widowControl w:val="true"/>
      </w:pPr>
      <w:r>
        <w:rPr>
          <w:rFonts w:ascii="Liberation Sans" w:hAnsi="Liberation Sans" w:eastAsia="Liberation Sans"/>
        </w:rPr>
        <w:t>Appendix B - Requirement Coverage</w:t>
      </w:r>
    </w:p>
    <w:tbl>
      <w:tblPr>
        <w:tblW w:type="auto" w:w="0"/>
        <w:jc w:val="center"/>
        <w:tblLayout w:type="fixed"/>
        <w:tblLook w:firstColumn="1" w:firstRow="1" w:lastColumn="0" w:lastRow="0" w:noHBand="0" w:noVBand="1" w:val="04A0"/>
        <w:tblBorders>
          <w:top w:val="single" w:sz="6" w:space="0" w:color="C9CED6"/>
          <w:left w:val="single" w:sz="6" w:space="0" w:color="C9CED6"/>
          <w:bottom w:val="single" w:sz="6" w:space="0" w:color="C9CED6"/>
          <w:right w:val="single" w:sz="6" w:space="0" w:color="C9CED6"/>
          <w:insideH w:val="single" w:sz="6" w:space="0" w:color="C9CED6"/>
          <w:insideV w:val="single" w:sz="6" w:space="0" w:color="C9CED6"/>
        </w:tblBorders>
      </w:tblPr>
      <w:tblGrid>
        <w:gridCol w:w="5040"/>
        <w:gridCol w:w="5040"/>
      </w:tblGrid>
      <w:tr>
        <w:trPr>
          <w:tblHeader w:val="true"/>
        </w:trPr>
        <w:tc>
          <w:tcPr>
            <w:tcW w:type="dxa" w:w="7200"/>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Requested element</w:t>
            </w:r>
          </w:p>
        </w:tc>
        <w:tc>
          <w:tcPr>
            <w:tcW w:type="dxa" w:w="2592"/>
            <w:shd w:fill="17365D"/>
            <w:tcMar>
              <w:top w:w="100" w:type="dxa"/>
              <w:start w:w="90" w:type="dxa"/>
              <w:bottom w:w="100" w:type="dxa"/>
              <w:end w:w="90" w:type="dxa"/>
            </w:tcMar>
          </w:tcPr>
          <w:p>
            <w:pPr>
              <w:spacing w:after="0"/>
              <w:jc w:val="left"/>
            </w:pPr>
            <w:r>
              <w:rPr>
                <w:rFonts w:ascii="Liberation Sans" w:hAnsi="Liberation Sans" w:eastAsia="Liberation Sans"/>
                <w:b/>
                <w:color w:val="FFFFFF"/>
                <w:sz w:val="17"/>
              </w:rPr>
              <w:t>Location</w:t>
            </w:r>
          </w:p>
        </w:tc>
      </w:tr>
      <w:tr>
        <w:trPr>
          <w:cantSplit/>
        </w:trPr>
        <w:tc>
          <w:tcPr>
            <w:tcW w:type="dxa" w:w="720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1. Precise problems KEP solves</w:t>
            </w:r>
          </w:p>
        </w:tc>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Section 2</w:t>
            </w:r>
          </w:p>
        </w:tc>
      </w:tr>
      <w:tr>
        <w:trPr>
          <w:cantSplit/>
        </w:trPr>
        <w:tc>
          <w:tcPr>
            <w:tcW w:type="dxa" w:w="720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2. What KEP is and is not</w:t>
            </w:r>
          </w:p>
        </w:tc>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Section 3</w:t>
            </w:r>
          </w:p>
        </w:tc>
      </w:tr>
      <w:tr>
        <w:trPr>
          <w:cantSplit/>
        </w:trPr>
        <w:tc>
          <w:tcPr>
            <w:tcW w:type="dxa" w:w="720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3. Intended users and consumers</w:t>
            </w:r>
          </w:p>
        </w:tc>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Section 4</w:t>
            </w:r>
          </w:p>
        </w:tc>
      </w:tr>
      <w:tr>
        <w:trPr>
          <w:cantSplit/>
        </w:trPr>
        <w:tc>
          <w:tcPr>
            <w:tcW w:type="dxa" w:w="720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4. Relationship to product repositories</w:t>
            </w:r>
          </w:p>
        </w:tc>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Section 6</w:t>
            </w:r>
          </w:p>
        </w:tc>
      </w:tr>
      <w:tr>
        <w:trPr>
          <w:cantSplit/>
        </w:trPr>
        <w:tc>
          <w:tcPr>
            <w:tcW w:type="dxa" w:w="720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5. Platform vs product-domain capabilities</w:t>
            </w:r>
          </w:p>
        </w:tc>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Section 7</w:t>
            </w:r>
          </w:p>
        </w:tc>
      </w:tr>
      <w:tr>
        <w:trPr>
          <w:cantSplit/>
        </w:trPr>
        <w:tc>
          <w:tcPr>
            <w:tcW w:type="dxa" w:w="720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6. Core subsystems</w:t>
            </w:r>
          </w:p>
        </w:tc>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Section 8</w:t>
            </w:r>
          </w:p>
        </w:tc>
      </w:tr>
      <w:tr>
        <w:trPr>
          <w:cantSplit/>
        </w:trPr>
        <w:tc>
          <w:tcPr>
            <w:tcW w:type="dxa" w:w="720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7. Engineering lifecycle</w:t>
            </w:r>
          </w:p>
        </w:tc>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Section 9</w:t>
            </w:r>
          </w:p>
        </w:tc>
      </w:tr>
      <w:tr>
        <w:trPr>
          <w:cantSplit/>
        </w:trPr>
        <w:tc>
          <w:tcPr>
            <w:tcW w:type="dxa" w:w="720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8. Product-to-platform feedback loop</w:t>
            </w:r>
          </w:p>
        </w:tc>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Section 10</w:t>
            </w:r>
          </w:p>
        </w:tc>
      </w:tr>
      <w:tr>
        <w:trPr>
          <w:cantSplit/>
        </w:trPr>
        <w:tc>
          <w:tcPr>
            <w:tcW w:type="dxa" w:w="720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9. Ownership and decision rights</w:t>
            </w:r>
          </w:p>
        </w:tc>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Section 11</w:t>
            </w:r>
          </w:p>
        </w:tc>
      </w:tr>
      <w:tr>
        <w:trPr>
          <w:cantSplit/>
        </w:trPr>
        <w:tc>
          <w:tcPr>
            <w:tcW w:type="dxa" w:w="720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10. Non-goals and exclusions</w:t>
            </w:r>
          </w:p>
        </w:tc>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Section 12</w:t>
            </w:r>
          </w:p>
        </w:tc>
      </w:tr>
      <w:tr>
        <w:trPr>
          <w:cantSplit/>
        </w:trPr>
        <w:tc>
          <w:tcPr>
            <w:tcW w:type="dxa" w:w="720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11. v0.1 capability boundary</w:t>
            </w:r>
          </w:p>
        </w:tc>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Section 13</w:t>
            </w:r>
          </w:p>
        </w:tc>
      </w:tr>
      <w:tr>
        <w:trPr>
          <w:cantSplit/>
        </w:trPr>
        <w:tc>
          <w:tcPr>
            <w:tcW w:type="dxa" w:w="720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12. Success measures</w:t>
            </w:r>
          </w:p>
        </w:tc>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Section 15</w:t>
            </w:r>
          </w:p>
        </w:tc>
      </w:tr>
      <w:tr>
        <w:trPr>
          <w:cantSplit/>
        </w:trPr>
        <w:tc>
          <w:tcPr>
            <w:tcW w:type="dxa" w:w="720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13. Over-engineering risks and controls</w:t>
            </w:r>
          </w:p>
        </w:tc>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Section 16</w:t>
            </w:r>
          </w:p>
        </w:tc>
      </w:tr>
      <w:tr>
        <w:trPr>
          <w:cantSplit/>
        </w:trPr>
        <w:tc>
          <w:tcPr>
            <w:tcW w:type="dxa" w:w="720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14. Capability placement conditions</w:t>
            </w:r>
          </w:p>
        </w:tc>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Section 17</w:t>
            </w:r>
          </w:p>
        </w:tc>
      </w:tr>
      <w:tr>
        <w:trPr>
          <w:cantSplit/>
        </w:trPr>
        <w:tc>
          <w:tcPr>
            <w:tcW w:type="dxa" w:w="720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15. Adoption and migration principles</w:t>
            </w:r>
          </w:p>
        </w:tc>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Section 18</w:t>
            </w:r>
          </w:p>
        </w:tc>
      </w:tr>
      <w:tr>
        <w:trPr>
          <w:cantSplit/>
        </w:trPr>
        <w:tc>
          <w:tcPr>
            <w:tcW w:type="dxa" w:w="7200"/>
            <w:tcMar>
              <w:top w:w="80" w:type="dxa"/>
              <w:start w:w="90" w:type="dxa"/>
              <w:bottom w:w="80" w:type="dxa"/>
              <w:end w:w="90" w:type="dxa"/>
            </w:tcMar>
            <w:shd w:fill="F5F6F8"/>
            <w:vAlign w:val="top"/>
          </w:tcPr>
          <w:p>
            <w:pPr>
              <w:spacing w:after="0" w:line="247" w:lineRule="auto"/>
            </w:pPr>
            <w:r>
              <w:rPr>
                <w:rFonts w:ascii="Liberation Sans" w:hAnsi="Liberation Sans" w:eastAsia="Liberation Sans"/>
                <w:b/>
                <w:color w:val="1F2937"/>
                <w:sz w:val="17"/>
              </w:rPr>
              <w:t>Unresolved decisions</w:t>
            </w:r>
          </w:p>
        </w:tc>
        <w:tc>
          <w:tcPr>
            <w:tcW w:type="dxa" w:w="2592"/>
            <w:tcMar>
              <w:top w:w="80" w:type="dxa"/>
              <w:start w:w="90" w:type="dxa"/>
              <w:bottom w:w="80" w:type="dxa"/>
              <w:end w:w="90" w:type="dxa"/>
            </w:tcMar>
            <w:shd w:fill="F5F6F8"/>
            <w:vAlign w:val="top"/>
          </w:tcPr>
          <w:p>
            <w:pPr>
              <w:spacing w:after="0" w:line="247" w:lineRule="auto"/>
            </w:pPr>
            <w:r>
              <w:rPr>
                <w:rFonts w:ascii="Liberation Sans" w:hAnsi="Liberation Sans" w:eastAsia="Liberation Sans"/>
                <w:color w:val="1F2937"/>
                <w:sz w:val="17"/>
              </w:rPr>
              <w:t>Section 19</w:t>
            </w:r>
          </w:p>
        </w:tc>
      </w:tr>
      <w:tr>
        <w:trPr>
          <w:cantSplit/>
        </w:trPr>
        <w:tc>
          <w:tcPr>
            <w:tcW w:type="dxa" w:w="7200"/>
            <w:tcMar>
              <w:top w:w="80" w:type="dxa"/>
              <w:start w:w="90" w:type="dxa"/>
              <w:bottom w:w="80" w:type="dxa"/>
              <w:end w:w="90" w:type="dxa"/>
            </w:tcMar>
            <w:vAlign w:val="top"/>
          </w:tcPr>
          <w:p>
            <w:pPr>
              <w:spacing w:after="0" w:line="247" w:lineRule="auto"/>
            </w:pPr>
            <w:r>
              <w:rPr>
                <w:rFonts w:ascii="Liberation Sans" w:hAnsi="Liberation Sans" w:eastAsia="Liberation Sans"/>
                <w:b/>
                <w:color w:val="1F2937"/>
                <w:sz w:val="17"/>
              </w:rPr>
              <w:t>Long-term vision distinction</w:t>
            </w:r>
          </w:p>
        </w:tc>
        <w:tc>
          <w:tcPr>
            <w:tcW w:type="dxa" w:w="2592"/>
            <w:tcMar>
              <w:top w:w="80" w:type="dxa"/>
              <w:start w:w="90" w:type="dxa"/>
              <w:bottom w:w="80" w:type="dxa"/>
              <w:end w:w="90" w:type="dxa"/>
            </w:tcMar>
            <w:vAlign w:val="top"/>
          </w:tcPr>
          <w:p>
            <w:pPr>
              <w:spacing w:after="0" w:line="247" w:lineRule="auto"/>
            </w:pPr>
            <w:r>
              <w:rPr>
                <w:rFonts w:ascii="Liberation Sans" w:hAnsi="Liberation Sans" w:eastAsia="Liberation Sans"/>
                <w:color w:val="1F2937"/>
                <w:sz w:val="17"/>
              </w:rPr>
              <w:t>Section 14</w:t>
            </w:r>
          </w:p>
        </w:tc>
      </w:tr>
    </w:tbl>
    <w:p>
      <w:pPr>
        <w:spacing w:after="40"/>
        <w:widowControl w:val="true"/>
      </w:pPr>
    </w:p>
    <w:sectPr w:rsidR="00FC693F" w:rsidRPr="0006063C" w:rsidSect="00034616">
      <w:headerReference w:type="default" r:id="rId9"/>
      <w:footerReference w:type="default" r:id="rId10"/>
      <w:pgSz w:w="12240" w:h="15840"/>
      <w:pgMar w:top="1008" w:right="1037"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b w:val="0"/>
        <w:i w:val="0"/>
        <w:color w:val="5B6573"/>
        <w:sz w:val="15"/>
      </w:rPr>
      <w:t xml:space="preserve">Kuriosity Engineering Platform  |  </w:t>
    </w:r>
    <w:r>
      <w:rPr>
        <w:color w:val="5B6573"/>
        <w:sz w:val="15"/>
      </w:rPr>
      <w:fldChar w:fldCharType="begin"/>
      <w:instrText xml:space="preserve">PAGE</w:instrText>
      <w:fldChar w:fldCharType="end"/>
    </w:r>
    <w:r>
      <w:rPr>
        <w:b w:val="0"/>
        <w:i w:val="0"/>
        <w:color w:val="5B6573"/>
        <w:sz w:val="15"/>
      </w:rPr>
      <w:t xml:space="preserve"> of </w:t>
    </w:r>
    <w:r>
      <w:rPr>
        <w:color w:val="5B6573"/>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KEP-001 | Platform Scope, Boundaries, and Operating Model | Ratified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Liberation Sans" w:hAnsi="Liberation Sans" w:eastAsia="Liberation Sans"/>
      <w:b/>
      <w:bCs/>
      <w:i/>
      <w:iCs/>
      <w:color w:val="5B657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eastAsia="Liberation Sans"/>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PBullet">
    <w:name w:val="KEP Bullet"/>
    <w:basedOn w:val="Normal"/>
    <w:pPr>
      <w:spacing w:after="40" w:line="254" w:lineRule="auto"/>
      <w:ind w:left="331" w:hanging="216"/>
    </w:pPr>
    <w:rPr>
      <w:rFonts w:ascii="Liberation Sans" w:hAnsi="Liberation Sans"/>
      <w:sz w:val="18"/>
    </w:rPr>
  </w:style>
  <w:style w:type="paragraph" w:customStyle="1" w:styleId="KEPBullet2">
    <w:name w:val="KEP Bullet 2"/>
    <w:basedOn w:val="Normal"/>
    <w:pPr>
      <w:spacing w:after="40" w:line="254" w:lineRule="auto"/>
      <w:ind w:left="691" w:hanging="216"/>
    </w:pPr>
    <w:rPr>
      <w:rFonts w:ascii="Liberation Sans" w:hAnsi="Liberation Sans"/>
      <w:sz w:val="18"/>
    </w:rPr>
  </w:style>
  <w:style w:type="paragraph" w:customStyle="1" w:styleId="KEPNumber">
    <w:name w:val="KEP Number"/>
    <w:basedOn w:val="Normal"/>
    <w:pPr>
      <w:spacing w:after="40" w:line="254" w:lineRule="auto"/>
      <w:ind w:left="360" w:hanging="259"/>
    </w:pPr>
    <w:rPr>
      <w:rFonts w:ascii="Liberation Sans" w:hAnsi="Liberation Sans"/>
      <w:sz w:val="18"/>
    </w:rPr>
  </w:style>
  <w:style w:type="paragraph" w:customStyle="1" w:styleId="KEPNumber2">
    <w:name w:val="KEP Number 2"/>
    <w:basedOn w:val="Normal"/>
    <w:pPr>
      <w:spacing w:after="40" w:line="254" w:lineRule="auto"/>
      <w:ind w:left="749" w:hanging="259"/>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KEP-001 - Platform Scope, Boundaries, and Operating Model</dc:title>
  <dc:subject>Foundational platform policy subordinate to KEP-000</dc:subject>
  <dc:creator>Kuriosity Engineering Platform</dc:creator>
  <cp:keywords>KEP, platform scope, operating model, engineering governance, AI-assisted engineering</cp:keywords>
  <dc:description>Version 1.0 final for ratification; founding decisions incorporated through KEP-001-DR-001.</dc:description>
  <cp:lastModifiedBy/>
  <cp:revision>1</cp:revision>
  <dcterms:created xsi:type="dcterms:W3CDTF">2013-12-23T23:15:00Z</dcterms:created>
  <dcterms:modified xsi:type="dcterms:W3CDTF">2013-12-23T23:15:00Z</dcterms:modified>
  <cp:category/>
</cp:coreProperties>
</file>