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color w:val="1F4E79"/>
          <w:sz w:val="24"/>
        </w:rPr>
        <w:t>KURIOSITY ENGINEERING PLATFORM</w:t>
      </w:r>
    </w:p>
    <w:p>
      <w:pPr>
        <w:spacing w:before="320"/>
        <w:jc w:val="center"/>
      </w:pPr>
      <w:r>
        <w:rPr>
          <w:rFonts w:ascii="Aptos Display" w:hAnsi="Aptos Display"/>
          <w:b/>
          <w:color w:val="17365D"/>
          <w:sz w:val="64"/>
        </w:rPr>
        <w:t>KEP-001A</w:t>
      </w:r>
    </w:p>
    <w:p>
      <w:pPr>
        <w:jc w:val="center"/>
      </w:pPr>
      <w:r>
        <w:rPr>
          <w:rFonts w:ascii="Aptos Display" w:hAnsi="Aptos Display"/>
          <w:b/>
          <w:color w:val="17365D"/>
          <w:sz w:val="50"/>
        </w:rPr>
        <w:t>Founding Decisions and</w:t>
        <w:br/>
        <w:t>Ratification Record</w:t>
      </w:r>
    </w:p>
    <w:p>
      <w:pPr>
        <w:spacing w:before="300"/>
        <w:jc w:val="center"/>
      </w:pPr>
      <w:r>
        <w:rPr>
          <w:i/>
          <w:sz w:val="22"/>
        </w:rPr>
        <w:t>Companion instrument to KEP-001 under the constitutional authority of KEP-000</w:t>
      </w:r>
    </w:p>
    <w:tbl>
      <w:tblPr>
        <w:tblStyle w:val="TableGrid"/>
        <w:tblW w:type="auto" w:w="0"/>
        <w:jc w:val="center"/>
        <w:tblLayout w:type="fixed"/>
        <w:tblLook w:firstColumn="1" w:firstRow="1" w:lastColumn="0" w:lastRow="0" w:noHBand="0" w:noVBand="1" w:val="04A0"/>
      </w:tblPr>
      <w:tblGrid>
        <w:gridCol w:w="3024"/>
        <w:gridCol w:w="6480"/>
      </w:tblGrid>
      <w:tr>
        <w:tc>
          <w:tcPr>
            <w:tcW w:type="dxa" w:w="3024"/>
            <w:vAlign w:val="center"/>
            <w:tcMar>
              <w:top w:w="80" w:type="dxa"/>
              <w:start w:w="100" w:type="dxa"/>
              <w:bottom w:w="80" w:type="dxa"/>
              <w:end w:w="100" w:type="dxa"/>
            </w:tcMar>
            <w:shd w:fill="17365D"/>
          </w:tcPr>
          <w:p>
            <w:r/>
            <w:r>
              <w:rPr>
                <w:rFonts w:ascii="Aptos" w:hAnsi="Aptos"/>
                <w:b/>
                <w:color w:val="FFFFFF"/>
                <w:sz w:val="18"/>
              </w:rPr>
              <w:t>Document ID</w:t>
            </w:r>
          </w:p>
        </w:tc>
        <w:tc>
          <w:tcPr>
            <w:tcW w:type="dxa" w:w="6480"/>
            <w:vAlign w:val="center"/>
            <w:tcMar>
              <w:top w:w="80" w:type="dxa"/>
              <w:start w:w="100" w:type="dxa"/>
              <w:bottom w:w="80" w:type="dxa"/>
              <w:end w:w="100" w:type="dxa"/>
            </w:tcMar>
          </w:tcPr>
          <w:p>
            <w:r/>
            <w:r>
              <w:rPr>
                <w:rFonts w:ascii="Aptos" w:hAnsi="Aptos"/>
                <w:b w:val="0"/>
                <w:sz w:val="18"/>
              </w:rPr>
              <w:t>KEP-001A</w:t>
            </w:r>
          </w:p>
        </w:tc>
      </w:tr>
      <w:tr>
        <w:tc>
          <w:tcPr>
            <w:tcW w:type="dxa" w:w="3024"/>
            <w:vAlign w:val="center"/>
            <w:tcMar>
              <w:top w:w="80" w:type="dxa"/>
              <w:start w:w="100" w:type="dxa"/>
              <w:bottom w:w="80" w:type="dxa"/>
              <w:end w:w="100" w:type="dxa"/>
            </w:tcMar>
            <w:shd w:fill="17365D"/>
          </w:tcPr>
          <w:p>
            <w:r/>
            <w:r>
              <w:rPr>
                <w:rFonts w:ascii="Aptos" w:hAnsi="Aptos"/>
                <w:b/>
                <w:color w:val="FFFFFF"/>
                <w:sz w:val="18"/>
              </w:rPr>
              <w:t>Title</w:t>
            </w:r>
          </w:p>
        </w:tc>
        <w:tc>
          <w:tcPr>
            <w:tcW w:type="dxa" w:w="6480"/>
            <w:vAlign w:val="center"/>
            <w:tcMar>
              <w:top w:w="80" w:type="dxa"/>
              <w:start w:w="100" w:type="dxa"/>
              <w:bottom w:w="80" w:type="dxa"/>
              <w:end w:w="100" w:type="dxa"/>
            </w:tcMar>
          </w:tcPr>
          <w:p>
            <w:r/>
            <w:r>
              <w:rPr>
                <w:rFonts w:ascii="Aptos" w:hAnsi="Aptos"/>
                <w:b w:val="0"/>
                <w:sz w:val="18"/>
              </w:rPr>
              <w:t>Founding Decisions and Ratification Record</w:t>
            </w:r>
          </w:p>
        </w:tc>
      </w:tr>
      <w:tr>
        <w:tc>
          <w:tcPr>
            <w:tcW w:type="dxa" w:w="3024"/>
            <w:vAlign w:val="center"/>
            <w:tcMar>
              <w:top w:w="80" w:type="dxa"/>
              <w:start w:w="100" w:type="dxa"/>
              <w:bottom w:w="80" w:type="dxa"/>
              <w:end w:w="100" w:type="dxa"/>
            </w:tcMar>
            <w:shd w:fill="17365D"/>
          </w:tcPr>
          <w:p>
            <w:r/>
            <w:r>
              <w:rPr>
                <w:rFonts w:ascii="Aptos" w:hAnsi="Aptos"/>
                <w:b/>
                <w:color w:val="FFFFFF"/>
                <w:sz w:val="18"/>
              </w:rPr>
              <w:t>Status</w:t>
            </w:r>
          </w:p>
        </w:tc>
        <w:tc>
          <w:tcPr>
            <w:tcW w:type="dxa" w:w="6480"/>
            <w:vAlign w:val="center"/>
            <w:tcMar>
              <w:top w:w="80" w:type="dxa"/>
              <w:start w:w="100" w:type="dxa"/>
              <w:bottom w:w="80" w:type="dxa"/>
              <w:end w:w="100" w:type="dxa"/>
            </w:tcMar>
          </w:tcPr>
          <w:p>
            <w:r/>
            <w:r>
              <w:rPr>
                <w:rFonts w:ascii="Aptos" w:hAnsi="Aptos"/>
                <w:b w:val="0"/>
                <w:sz w:val="18"/>
              </w:rPr>
              <w:t>Ratified</w:t>
            </w:r>
          </w:p>
        </w:tc>
      </w:tr>
      <w:tr>
        <w:tc>
          <w:tcPr>
            <w:tcW w:type="dxa" w:w="3024"/>
            <w:vAlign w:val="center"/>
            <w:tcMar>
              <w:top w:w="80" w:type="dxa"/>
              <w:start w:w="100" w:type="dxa"/>
              <w:bottom w:w="80" w:type="dxa"/>
              <w:end w:w="100" w:type="dxa"/>
            </w:tcMar>
            <w:shd w:fill="17365D"/>
          </w:tcPr>
          <w:p>
            <w:r/>
            <w:r>
              <w:rPr>
                <w:rFonts w:ascii="Aptos" w:hAnsi="Aptos"/>
                <w:b/>
                <w:color w:val="FFFFFF"/>
                <w:sz w:val="18"/>
              </w:rPr>
              <w:t>Version</w:t>
            </w:r>
          </w:p>
        </w:tc>
        <w:tc>
          <w:tcPr>
            <w:tcW w:type="dxa" w:w="6480"/>
            <w:vAlign w:val="center"/>
            <w:tcMar>
              <w:top w:w="80" w:type="dxa"/>
              <w:start w:w="100" w:type="dxa"/>
              <w:bottom w:w="80" w:type="dxa"/>
              <w:end w:w="100" w:type="dxa"/>
            </w:tcMar>
          </w:tcPr>
          <w:p>
            <w:r/>
            <w:r>
              <w:rPr>
                <w:rFonts w:ascii="Aptos" w:hAnsi="Aptos"/>
                <w:b w:val="0"/>
                <w:sz w:val="18"/>
              </w:rPr>
              <w:t>1.0</w:t>
            </w:r>
          </w:p>
        </w:tc>
      </w:tr>
      <w:tr>
        <w:tc>
          <w:tcPr>
            <w:tcW w:type="dxa" w:w="3024"/>
            <w:vAlign w:val="center"/>
            <w:tcMar>
              <w:top w:w="80" w:type="dxa"/>
              <w:start w:w="100" w:type="dxa"/>
              <w:bottom w:w="80" w:type="dxa"/>
              <w:end w:w="100" w:type="dxa"/>
            </w:tcMar>
            <w:shd w:fill="17365D"/>
          </w:tcPr>
          <w:p>
            <w:r/>
            <w:r>
              <w:rPr>
                <w:rFonts w:ascii="Aptos" w:hAnsi="Aptos"/>
                <w:b/>
                <w:color w:val="FFFFFF"/>
                <w:sz w:val="18"/>
              </w:rPr>
              <w:t>Authority Classification</w:t>
            </w:r>
          </w:p>
        </w:tc>
        <w:tc>
          <w:tcPr>
            <w:tcW w:type="dxa" w:w="6480"/>
            <w:vAlign w:val="center"/>
            <w:tcMar>
              <w:top w:w="80" w:type="dxa"/>
              <w:start w:w="100" w:type="dxa"/>
              <w:bottom w:w="80" w:type="dxa"/>
              <w:end w:w="100" w:type="dxa"/>
            </w:tcMar>
          </w:tcPr>
          <w:p>
            <w:r/>
            <w:r>
              <w:rPr>
                <w:rFonts w:ascii="Aptos" w:hAnsi="Aptos"/>
                <w:b w:val="0"/>
                <w:sz w:val="18"/>
              </w:rPr>
              <w:t>Foundational companion record; subordinate to KEP-000 and incorporated by KEP-001</w:t>
            </w:r>
          </w:p>
        </w:tc>
      </w:tr>
      <w:tr>
        <w:tc>
          <w:tcPr>
            <w:tcW w:type="dxa" w:w="3024"/>
            <w:vAlign w:val="center"/>
            <w:tcMar>
              <w:top w:w="80" w:type="dxa"/>
              <w:start w:w="100" w:type="dxa"/>
              <w:bottom w:w="80" w:type="dxa"/>
              <w:end w:w="100" w:type="dxa"/>
            </w:tcMar>
            <w:shd w:fill="17365D"/>
          </w:tcPr>
          <w:p>
            <w:r/>
            <w:r>
              <w:rPr>
                <w:rFonts w:ascii="Aptos" w:hAnsi="Aptos"/>
                <w:b/>
                <w:color w:val="FFFFFF"/>
                <w:sz w:val="18"/>
              </w:rPr>
              <w:t>Governing Authority</w:t>
            </w:r>
          </w:p>
        </w:tc>
        <w:tc>
          <w:tcPr>
            <w:tcW w:type="dxa" w:w="6480"/>
            <w:vAlign w:val="center"/>
            <w:tcMar>
              <w:top w:w="80" w:type="dxa"/>
              <w:start w:w="100" w:type="dxa"/>
              <w:bottom w:w="80" w:type="dxa"/>
              <w:end w:w="100" w:type="dxa"/>
            </w:tcMar>
          </w:tcPr>
          <w:p>
            <w:r/>
            <w:r>
              <w:rPr>
                <w:rFonts w:ascii="Aptos" w:hAnsi="Aptos"/>
                <w:b w:val="0"/>
                <w:sz w:val="18"/>
              </w:rPr>
              <w:t>KEP-000 - Founding Charter, Version 1.0</w:t>
            </w:r>
          </w:p>
        </w:tc>
      </w:tr>
      <w:tr>
        <w:tc>
          <w:tcPr>
            <w:tcW w:type="dxa" w:w="3024"/>
            <w:vAlign w:val="center"/>
            <w:tcMar>
              <w:top w:w="80" w:type="dxa"/>
              <w:start w:w="100" w:type="dxa"/>
              <w:bottom w:w="80" w:type="dxa"/>
              <w:end w:w="100" w:type="dxa"/>
            </w:tcMar>
            <w:shd w:fill="17365D"/>
          </w:tcPr>
          <w:p>
            <w:r/>
            <w:r>
              <w:rPr>
                <w:rFonts w:ascii="Aptos" w:hAnsi="Aptos"/>
                <w:b/>
                <w:color w:val="FFFFFF"/>
                <w:sz w:val="18"/>
              </w:rPr>
              <w:t>Related Policy</w:t>
            </w:r>
          </w:p>
        </w:tc>
        <w:tc>
          <w:tcPr>
            <w:tcW w:type="dxa" w:w="6480"/>
            <w:vAlign w:val="center"/>
            <w:tcMar>
              <w:top w:w="80" w:type="dxa"/>
              <w:start w:w="100" w:type="dxa"/>
              <w:bottom w:w="80" w:type="dxa"/>
              <w:end w:w="100" w:type="dxa"/>
            </w:tcMar>
          </w:tcPr>
          <w:p>
            <w:r/>
            <w:r>
              <w:rPr>
                <w:rFonts w:ascii="Aptos" w:hAnsi="Aptos"/>
                <w:b w:val="0"/>
                <w:sz w:val="18"/>
              </w:rPr>
              <w:t>KEP-001 - Platform Scope, Boundaries, and Operating Model, Version 1.0</w:t>
            </w:r>
          </w:p>
        </w:tc>
      </w:tr>
      <w:tr>
        <w:tc>
          <w:tcPr>
            <w:tcW w:type="dxa" w:w="3024"/>
            <w:vAlign w:val="center"/>
            <w:tcMar>
              <w:top w:w="80" w:type="dxa"/>
              <w:start w:w="100" w:type="dxa"/>
              <w:bottom w:w="80" w:type="dxa"/>
              <w:end w:w="100" w:type="dxa"/>
            </w:tcMar>
            <w:shd w:fill="17365D"/>
          </w:tcPr>
          <w:p>
            <w:r/>
            <w:r>
              <w:rPr>
                <w:rFonts w:ascii="Aptos" w:hAnsi="Aptos"/>
                <w:b/>
                <w:color w:val="FFFFFF"/>
                <w:sz w:val="18"/>
              </w:rPr>
              <w:t>Effective Date</w:t>
            </w:r>
          </w:p>
        </w:tc>
        <w:tc>
          <w:tcPr>
            <w:tcW w:type="dxa" w:w="6480"/>
            <w:vAlign w:val="center"/>
            <w:tcMar>
              <w:top w:w="80" w:type="dxa"/>
              <w:start w:w="100" w:type="dxa"/>
              <w:bottom w:w="80" w:type="dxa"/>
              <w:end w:w="100" w:type="dxa"/>
            </w:tcMar>
          </w:tcPr>
          <w:p>
            <w:r/>
            <w:r>
              <w:rPr>
                <w:rFonts w:ascii="Aptos" w:hAnsi="Aptos"/>
                <w:b w:val="0"/>
                <w:sz w:val="18"/>
              </w:rPr>
              <w:t>Upon ratification with KEP-001</w:t>
            </w:r>
          </w:p>
        </w:tc>
      </w:tr>
      <w:tr>
        <w:tc>
          <w:tcPr>
            <w:tcW w:type="dxa" w:w="3024"/>
            <w:vAlign w:val="center"/>
            <w:tcMar>
              <w:top w:w="80" w:type="dxa"/>
              <w:start w:w="100" w:type="dxa"/>
              <w:bottom w:w="80" w:type="dxa"/>
              <w:end w:w="100" w:type="dxa"/>
            </w:tcMar>
            <w:shd w:fill="17365D"/>
          </w:tcPr>
          <w:p>
            <w:r/>
            <w:r>
              <w:rPr>
                <w:rFonts w:ascii="Aptos" w:hAnsi="Aptos"/>
                <w:b/>
                <w:color w:val="FFFFFF"/>
                <w:sz w:val="18"/>
              </w:rPr>
              <w:t>Applies To</w:t>
            </w:r>
          </w:p>
        </w:tc>
        <w:tc>
          <w:tcPr>
            <w:tcW w:type="dxa" w:w="6480"/>
            <w:vAlign w:val="center"/>
            <w:tcMar>
              <w:top w:w="80" w:type="dxa"/>
              <w:start w:w="100" w:type="dxa"/>
              <w:bottom w:w="80" w:type="dxa"/>
              <w:end w:w="100" w:type="dxa"/>
            </w:tcMar>
          </w:tcPr>
          <w:p>
            <w:r/>
            <w:r>
              <w:rPr>
                <w:rFonts w:ascii="Aptos" w:hAnsi="Aptos"/>
                <w:b w:val="0"/>
                <w:sz w:val="18"/>
              </w:rPr>
              <w:t>Founding assignments, decisions, boundaries, and deferred-decision controls for KEP v0.1</w:t>
            </w:r>
          </w:p>
        </w:tc>
      </w:tr>
    </w:tbl>
    <w:p>
      <w:pPr>
        <w:spacing w:before="360"/>
        <w:jc w:val="center"/>
      </w:pPr>
      <w:r>
        <w:rPr>
          <w:b/>
          <w:color w:val="1F4E79"/>
        </w:rPr>
        <w:t>Product-independent. Technology-neutral. Evidence-governed.</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80" w:type="dxa"/>
              <w:start w:w="100" w:type="dxa"/>
              <w:bottom w:w="80" w:type="dxa"/>
              <w:end w:w="100" w:type="dxa"/>
            </w:tcMar>
            <w:shd w:fill="17365D"/>
          </w:tcPr>
          <w:p>
            <w:r/>
            <w:r>
              <w:rPr>
                <w:rFonts w:ascii="Aptos" w:hAnsi="Aptos"/>
                <w:b/>
                <w:color w:val="FFFFFF"/>
                <w:sz w:val="18"/>
              </w:rPr>
              <w:t>Purpose</w:t>
            </w:r>
          </w:p>
        </w:tc>
        <w:tc>
          <w:tcPr>
            <w:tcW w:type="dxa" w:w="5112"/>
            <w:vAlign w:val="center"/>
            <w:tcMar>
              <w:top w:w="80" w:type="dxa"/>
              <w:start w:w="100" w:type="dxa"/>
              <w:bottom w:w="80" w:type="dxa"/>
              <w:end w:w="100" w:type="dxa"/>
            </w:tcMar>
          </w:tcPr>
          <w:p>
            <w:r/>
            <w:r>
              <w:rPr>
                <w:rFonts w:ascii="Aptos" w:hAnsi="Aptos"/>
                <w:b w:val="0"/>
                <w:sz w:val="18"/>
              </w:rPr>
              <w:t>Close the founding decisions required to ratify KEP-001 and record the legal and operational effect of those decisions.</w:t>
            </w:r>
          </w:p>
        </w:tc>
      </w:tr>
      <w:tr>
        <w:tc>
          <w:tcPr>
            <w:tcW w:type="dxa" w:w="5112"/>
            <w:vAlign w:val="center"/>
            <w:tcMar>
              <w:top w:w="80" w:type="dxa"/>
              <w:start w:w="100" w:type="dxa"/>
              <w:bottom w:w="80" w:type="dxa"/>
              <w:end w:w="100" w:type="dxa"/>
            </w:tcMar>
            <w:shd w:fill="17365D"/>
          </w:tcPr>
          <w:p>
            <w:r/>
            <w:r>
              <w:rPr>
                <w:rFonts w:ascii="Aptos" w:hAnsi="Aptos"/>
                <w:b/>
                <w:color w:val="FFFFFF"/>
                <w:sz w:val="18"/>
              </w:rPr>
              <w:t>Precedence</w:t>
            </w:r>
          </w:p>
        </w:tc>
        <w:tc>
          <w:tcPr>
            <w:tcW w:type="dxa" w:w="5112"/>
            <w:vAlign w:val="center"/>
            <w:tcMar>
              <w:top w:w="80" w:type="dxa"/>
              <w:start w:w="100" w:type="dxa"/>
              <w:bottom w:w="80" w:type="dxa"/>
              <w:end w:w="100" w:type="dxa"/>
            </w:tcMar>
          </w:tcPr>
          <w:p>
            <w:r/>
            <w:r>
              <w:rPr>
                <w:rFonts w:ascii="Aptos" w:hAnsi="Aptos"/>
                <w:b w:val="0"/>
                <w:sz w:val="18"/>
              </w:rPr>
              <w:t>Applicable law and binding obligations prevail. KEP-000 prevails over KEP-001 and KEP-001A. KEP-001 and this record must be interpreted together.</w:t>
            </w:r>
          </w:p>
        </w:tc>
      </w:tr>
      <w:tr>
        <w:tc>
          <w:tcPr>
            <w:tcW w:type="dxa" w:w="5112"/>
            <w:vAlign w:val="center"/>
            <w:tcMar>
              <w:top w:w="80" w:type="dxa"/>
              <w:start w:w="100" w:type="dxa"/>
              <w:bottom w:w="80" w:type="dxa"/>
              <w:end w:w="100" w:type="dxa"/>
            </w:tcMar>
            <w:shd w:fill="17365D"/>
          </w:tcPr>
          <w:p>
            <w:r/>
            <w:r>
              <w:rPr>
                <w:rFonts w:ascii="Aptos" w:hAnsi="Aptos"/>
                <w:b/>
                <w:color w:val="FFFFFF"/>
                <w:sz w:val="18"/>
              </w:rPr>
              <w:t>Normative effect</w:t>
            </w:r>
          </w:p>
        </w:tc>
        <w:tc>
          <w:tcPr>
            <w:tcW w:type="dxa" w:w="5112"/>
            <w:vAlign w:val="center"/>
            <w:tcMar>
              <w:top w:w="80" w:type="dxa"/>
              <w:start w:w="100" w:type="dxa"/>
              <w:bottom w:w="80" w:type="dxa"/>
              <w:end w:w="100" w:type="dxa"/>
            </w:tcMar>
          </w:tcPr>
          <w:p>
            <w:r/>
            <w:r>
              <w:rPr>
                <w:rFonts w:ascii="Aptos" w:hAnsi="Aptos"/>
                <w:b w:val="0"/>
                <w:sz w:val="18"/>
              </w:rPr>
              <w:t>The decisions in Section 4 become binding when the ratification in Section 8 is completed.</w:t>
            </w:r>
          </w:p>
        </w:tc>
      </w:tr>
      <w:tr>
        <w:tc>
          <w:tcPr>
            <w:tcW w:type="dxa" w:w="5112"/>
            <w:vAlign w:val="center"/>
            <w:tcMar>
              <w:top w:w="80" w:type="dxa"/>
              <w:start w:w="100" w:type="dxa"/>
              <w:bottom w:w="80" w:type="dxa"/>
              <w:end w:w="100" w:type="dxa"/>
            </w:tcMar>
            <w:shd w:fill="17365D"/>
          </w:tcPr>
          <w:p>
            <w:r/>
            <w:r>
              <w:rPr>
                <w:rFonts w:ascii="Aptos" w:hAnsi="Aptos"/>
                <w:b/>
                <w:color w:val="FFFFFF"/>
                <w:sz w:val="18"/>
              </w:rPr>
              <w:t>Non-effect</w:t>
            </w:r>
          </w:p>
        </w:tc>
        <w:tc>
          <w:tcPr>
            <w:tcW w:type="dxa" w:w="5112"/>
            <w:vAlign w:val="center"/>
            <w:tcMar>
              <w:top w:w="80" w:type="dxa"/>
              <w:start w:w="100" w:type="dxa"/>
              <w:bottom w:w="80" w:type="dxa"/>
              <w:end w:w="100" w:type="dxa"/>
            </w:tcMar>
          </w:tcPr>
          <w:p>
            <w:r/>
            <w:r>
              <w:rPr>
                <w:rFonts w:ascii="Aptos" w:hAnsi="Aptos"/>
                <w:b w:val="0"/>
                <w:sz w:val="18"/>
              </w:rPr>
              <w:t>This record does not authorize product-domain behavior, implementation code, shared runtime services, or any deferred decision.</w:t>
            </w:r>
          </w:p>
        </w:tc>
      </w:tr>
      <w:tr>
        <w:tc>
          <w:tcPr>
            <w:tcW w:type="dxa" w:w="5112"/>
            <w:vAlign w:val="center"/>
            <w:tcMar>
              <w:top w:w="80" w:type="dxa"/>
              <w:start w:w="100" w:type="dxa"/>
              <w:bottom w:w="80" w:type="dxa"/>
              <w:end w:w="100" w:type="dxa"/>
            </w:tcMar>
            <w:shd w:fill="17365D"/>
          </w:tcPr>
          <w:p>
            <w:r/>
            <w:r>
              <w:rPr>
                <w:rFonts w:ascii="Aptos" w:hAnsi="Aptos"/>
                <w:b/>
                <w:color w:val="FFFFFF"/>
                <w:sz w:val="18"/>
              </w:rPr>
              <w:t>Amendment rule</w:t>
            </w:r>
          </w:p>
        </w:tc>
        <w:tc>
          <w:tcPr>
            <w:tcW w:type="dxa" w:w="5112"/>
            <w:vAlign w:val="center"/>
            <w:tcMar>
              <w:top w:w="80" w:type="dxa"/>
              <w:start w:w="100" w:type="dxa"/>
              <w:bottom w:w="80" w:type="dxa"/>
              <w:end w:w="100" w:type="dxa"/>
            </w:tcMar>
          </w:tcPr>
          <w:p>
            <w:r/>
            <w:r>
              <w:rPr>
                <w:rFonts w:ascii="Aptos" w:hAnsi="Aptos"/>
                <w:b w:val="0"/>
                <w:sz w:val="18"/>
              </w:rPr>
              <w:t>A change to a founding decision requires a versioned amendment approved by the authority defined in KEP-001. Constitutional matters require amendment under KEP-000.</w:t>
            </w:r>
          </w:p>
        </w:tc>
      </w:tr>
      <w:tr>
        <w:tc>
          <w:tcPr>
            <w:tcW w:type="dxa" w:w="5112"/>
            <w:vAlign w:val="center"/>
            <w:tcMar>
              <w:top w:w="80" w:type="dxa"/>
              <w:start w:w="100" w:type="dxa"/>
              <w:bottom w:w="80" w:type="dxa"/>
              <w:end w:w="100" w:type="dxa"/>
            </w:tcMar>
            <w:shd w:fill="17365D"/>
          </w:tcPr>
          <w:p>
            <w:r/>
            <w:r>
              <w:rPr>
                <w:rFonts w:ascii="Aptos" w:hAnsi="Aptos"/>
                <w:b/>
                <w:color w:val="FFFFFF"/>
                <w:sz w:val="18"/>
              </w:rPr>
              <w:t>Review cadence</w:t>
            </w:r>
          </w:p>
        </w:tc>
        <w:tc>
          <w:tcPr>
            <w:tcW w:type="dxa" w:w="5112"/>
            <w:vAlign w:val="center"/>
            <w:tcMar>
              <w:top w:w="80" w:type="dxa"/>
              <w:start w:w="100" w:type="dxa"/>
              <w:bottom w:w="80" w:type="dxa"/>
              <w:end w:w="100" w:type="dxa"/>
            </w:tcMar>
          </w:tcPr>
          <w:p>
            <w:r/>
            <w:r>
              <w:rPr>
                <w:rFonts w:ascii="Aptos" w:hAnsi="Aptos"/>
                <w:b w:val="0"/>
                <w:sz w:val="18"/>
              </w:rPr>
              <w:t>Annual formal review, with immediate review upon a material legal, security, architecture, ownership, or platform-scope change.</w:t>
            </w:r>
          </w:p>
        </w:tc>
      </w:tr>
    </w:tbl>
    <w:p>
      <w:pPr>
        <w:pStyle w:val="Heading2"/>
      </w:pPr>
      <w:r>
        <w:t>Normative Language</w:t>
      </w:r>
    </w:p>
    <w:p>
      <w:r>
        <w:t>MUST, SHALL, and MUST NOT express binding obligations. SHOULD expresses the expected default and requires recorded rationale when materially deviated from. MAY expresses permission within applicable constraints.</w:t>
      </w:r>
    </w:p>
    <w:p>
      <w:pPr>
        <w:pStyle w:val="Heading2"/>
      </w:pPr>
      <w:r>
        <w:t>Interpretive Rule</w:t>
      </w:r>
    </w:p>
    <w:p>
      <w:r>
        <w:t>KEP-001A replaces the working identifier KEP-001-DR-001 for the founding decisions recorded here. References to KEP-001-DR-001 in pre-ratification drafts SHALL be interpreted as references to KEP-001A and corrected in the next controlled revision of those artifacts.</w:t>
      </w:r>
    </w:p>
    <w:p>
      <w:pPr>
        <w:pStyle w:val="Heading1"/>
      </w:pPr>
      <w:r>
        <w:t>Contents</w:t>
      </w:r>
    </w:p>
    <w:p>
      <w:pPr>
        <w:spacing w:after="20"/>
      </w:pPr>
      <w:r>
        <w:t>1. Purpose and Authority</w:t>
      </w:r>
    </w:p>
    <w:p>
      <w:pPr>
        <w:spacing w:after="20"/>
      </w:pPr>
      <w:r>
        <w:t>2. Relationship to KEP-000 and KEP-001</w:t>
      </w:r>
    </w:p>
    <w:p>
      <w:pPr>
        <w:spacing w:after="20"/>
      </w:pPr>
      <w:r>
        <w:t>3. Decision Status Model</w:t>
      </w:r>
    </w:p>
    <w:p>
      <w:pPr>
        <w:spacing w:after="20"/>
      </w:pPr>
      <w:r>
        <w:t>4. Resolved Founding Decisions</w:t>
      </w:r>
    </w:p>
    <w:p>
      <w:pPr>
        <w:spacing w:after="20"/>
      </w:pPr>
      <w:r>
        <w:t>5. Deferred Decisions</w:t>
      </w:r>
    </w:p>
    <w:p>
      <w:pPr>
        <w:spacing w:after="20"/>
      </w:pPr>
      <w:r>
        <w:t>6. Consequences and Controls</w:t>
      </w:r>
    </w:p>
    <w:p>
      <w:pPr>
        <w:spacing w:after="20"/>
      </w:pPr>
      <w:r>
        <w:t>7. Ratification Conditions</w:t>
      </w:r>
    </w:p>
    <w:p>
      <w:pPr>
        <w:spacing w:after="20"/>
      </w:pPr>
      <w:r>
        <w:t>8. Ratification Record</w:t>
      </w:r>
    </w:p>
    <w:p>
      <w:pPr>
        <w:spacing w:after="20"/>
      </w:pPr>
      <w:r>
        <w:t>9. Revision History</w:t>
      </w:r>
    </w:p>
    <w:p>
      <w:r>
        <w:br w:type="page"/>
      </w:r>
    </w:p>
    <w:p>
      <w:pPr>
        <w:pStyle w:val="Heading1"/>
      </w:pPr>
      <w:r>
        <w:t>1. Purpose and Authority</w:t>
      </w:r>
    </w:p>
    <w:p>
      <w:r>
        <w:t>KEP-001A is the authoritative founding decision and ratification record for KEP-001. It identifies the people initially entrusted with platform authority, closes selected policy questions required for founding-stage operation, preserves unresolved matters as explicit deferred decisions, and records the conditions under which KEP-001 becomes effective.</w:t>
      </w:r>
    </w:p>
    <w:p>
      <w:pPr>
        <w:pStyle w:val="Heading1"/>
      </w:pPr>
      <w:r>
        <w:t>2. Relationship to KEP-000 and KEP-001</w:t>
      </w:r>
    </w:p>
    <w:p>
      <w:r>
        <w:t>KEP-000 supplies the constitutional authority, principles, precedence, human-accountability requirements, and controlled-evolution rules. KEP-001 defines the platform scope, boundaries, subsystems, operating model, and v0.1 capability boundary. KEP-001A records the founding choices required to activate that operating model. This record does not supersede either governing document.</w:t>
      </w:r>
    </w:p>
    <w:p>
      <w:pPr>
        <w:pStyle w:val="Heading1"/>
      </w:pPr>
      <w:r>
        <w:t>3. Decision Status Model</w:t>
      </w:r>
    </w:p>
    <w:p>
      <w:r>
        <w:t>Each decision in this record has one of three states: Resolved and binding upon ratification; Deferred and non-authoritative; or Superseded by a later approved record. A prototype, implementation default, tool choice, or repeated practice does not resolve a deferred decision.</w:t>
      </w:r>
    </w:p>
    <w:p>
      <w:pPr>
        <w:pStyle w:val="Heading2"/>
      </w:pPr>
      <w:r>
        <w:t>3.1 Decision Integrity Rules</w:t>
      </w:r>
    </w:p>
    <w:p>
      <w:pPr>
        <w:pStyle w:val="ListBullet"/>
        <w:spacing w:after="40"/>
      </w:pPr>
      <w:r>
        <w:t>A resolved decision SHALL be implemented only within its stated boundary.</w:t>
      </w:r>
    </w:p>
    <w:p>
      <w:pPr>
        <w:pStyle w:val="ListBullet"/>
        <w:spacing w:after="40"/>
      </w:pPr>
      <w:r>
        <w:t>A deferred decision SHALL NOT be inferred from silence, prototype behavior, vendor defaults, or local convenience.</w:t>
      </w:r>
    </w:p>
    <w:p>
      <w:pPr>
        <w:pStyle w:val="ListBullet"/>
        <w:spacing w:after="40"/>
      </w:pPr>
      <w:r>
        <w:t>Any conflict between this record and KEP-000 is resolved in favor of KEP-000.</w:t>
      </w:r>
    </w:p>
    <w:p>
      <w:pPr>
        <w:pStyle w:val="ListBullet"/>
        <w:spacing w:after="40"/>
      </w:pPr>
      <w:r>
        <w:t>Any conflict between this record and KEP-001 requires correction or a controlled amendment; neither document may be selectively ignored.</w:t>
      </w:r>
    </w:p>
    <w:p>
      <w:pPr>
        <w:pStyle w:val="ListBullet"/>
        <w:spacing w:after="40"/>
      </w:pPr>
      <w:r>
        <w:t>Human accountability remains with the named or subsequently appointed authority.</w:t>
      </w:r>
    </w:p>
    <w:p>
      <w:pPr>
        <w:pStyle w:val="Heading1"/>
      </w:pPr>
      <w:r>
        <w:t>4. Resolved Founding Decisions</w:t>
      </w:r>
    </w:p>
    <w:p>
      <w:pPr>
        <w:pStyle w:val="Heading2"/>
      </w:pPr>
      <w:r>
        <w:t>UD-001 - Ratifying Authority and Named Ownership</w:t>
      </w:r>
    </w:p>
    <w:tbl>
      <w:tblPr>
        <w:tblStyle w:val="TableGrid"/>
        <w:tblW w:type="auto" w:w="0"/>
        <w:jc w:val="center"/>
        <w:tblLayout w:type="fixed"/>
        <w:tblLook w:firstColumn="1" w:firstRow="1" w:lastColumn="0" w:lastRow="0" w:noHBand="0" w:noVBand="1" w:val="04A0"/>
      </w:tblPr>
      <w:tblGrid>
        <w:gridCol w:w="1944"/>
        <w:gridCol w:w="8136"/>
      </w:tblGrid>
      <w:tr>
        <w:tc>
          <w:tcPr>
            <w:tcW w:type="dxa" w:w="1944"/>
            <w:vAlign w:val="center"/>
            <w:tcMar>
              <w:top w:w="80" w:type="dxa"/>
              <w:start w:w="100" w:type="dxa"/>
              <w:bottom w:w="80" w:type="dxa"/>
              <w:end w:w="100" w:type="dxa"/>
            </w:tcMar>
            <w:shd w:fill="17365D"/>
          </w:tcPr>
          <w:p>
            <w:r/>
            <w:r>
              <w:rPr>
                <w:rFonts w:ascii="Aptos" w:hAnsi="Aptos"/>
                <w:b/>
                <w:color w:val="FFFFFF"/>
                <w:sz w:val="18"/>
              </w:rPr>
              <w:t>Decision</w:t>
            </w:r>
          </w:p>
        </w:tc>
        <w:tc>
          <w:tcPr>
            <w:tcW w:type="dxa" w:w="8136"/>
            <w:vAlign w:val="center"/>
            <w:tcMar>
              <w:top w:w="80" w:type="dxa"/>
              <w:start w:w="100" w:type="dxa"/>
              <w:bottom w:w="80" w:type="dxa"/>
              <w:end w:w="100" w:type="dxa"/>
            </w:tcMar>
          </w:tcPr>
          <w:p>
            <w:r/>
            <w:r>
              <w:rPr>
                <w:rFonts w:ascii="Aptos" w:hAnsi="Aptos"/>
                <w:b w:val="0"/>
                <w:sz w:val="18"/>
              </w:rPr>
              <w:t>Kashif Muhammad Younus is assigned as Founding Authority, Platform Owner, Governance Steward, Platform Architecture Authority, Quality Gate Authority, and Platform Release Authority. The Platform Architecture Authority is supported by the designated CTO architecture-review function.</w:t>
            </w:r>
          </w:p>
        </w:tc>
      </w:tr>
      <w:tr>
        <w:tc>
          <w:tcPr>
            <w:tcW w:type="dxa" w:w="1944"/>
            <w:vAlign w:val="center"/>
            <w:tcMar>
              <w:top w:w="80" w:type="dxa"/>
              <w:start w:w="100" w:type="dxa"/>
              <w:bottom w:w="80" w:type="dxa"/>
              <w:end w:w="100" w:type="dxa"/>
            </w:tcMar>
            <w:shd w:fill="17365D"/>
          </w:tcPr>
          <w:p>
            <w:r/>
            <w:r>
              <w:rPr>
                <w:rFonts w:ascii="Aptos" w:hAnsi="Aptos"/>
                <w:b/>
                <w:color w:val="FFFFFF"/>
                <w:sz w:val="18"/>
              </w:rPr>
              <w:t>Rationale</w:t>
            </w:r>
          </w:p>
        </w:tc>
        <w:tc>
          <w:tcPr>
            <w:tcW w:type="dxa" w:w="8136"/>
            <w:vAlign w:val="center"/>
            <w:tcMar>
              <w:top w:w="80" w:type="dxa"/>
              <w:start w:w="100" w:type="dxa"/>
              <w:bottom w:w="80" w:type="dxa"/>
              <w:end w:w="100" w:type="dxa"/>
            </w:tcMar>
          </w:tcPr>
          <w:p>
            <w:r/>
            <w:r>
              <w:rPr>
                <w:rFonts w:ascii="Aptos" w:hAnsi="Aptos"/>
                <w:b w:val="0"/>
                <w:sz w:val="18"/>
              </w:rPr>
              <w:t>Founding-stage operation requires identifiable accountability. Concentrating roles in one person permits KEP v0.1 to operate before a larger governance organization exists.</w:t>
            </w:r>
          </w:p>
        </w:tc>
      </w:tr>
      <w:tr>
        <w:tc>
          <w:tcPr>
            <w:tcW w:type="dxa" w:w="1944"/>
            <w:vAlign w:val="center"/>
            <w:tcMar>
              <w:top w:w="80" w:type="dxa"/>
              <w:start w:w="100" w:type="dxa"/>
              <w:bottom w:w="80" w:type="dxa"/>
              <w:end w:w="100" w:type="dxa"/>
            </w:tcMar>
            <w:shd w:fill="17365D"/>
          </w:tcPr>
          <w:p>
            <w:r/>
            <w:r>
              <w:rPr>
                <w:rFonts w:ascii="Aptos" w:hAnsi="Aptos"/>
                <w:b/>
                <w:color w:val="FFFFFF"/>
                <w:sz w:val="18"/>
              </w:rPr>
              <w:t>Binding boundary</w:t>
            </w:r>
          </w:p>
        </w:tc>
        <w:tc>
          <w:tcPr>
            <w:tcW w:type="dxa" w:w="8136"/>
            <w:vAlign w:val="center"/>
            <w:tcMar>
              <w:top w:w="80" w:type="dxa"/>
              <w:start w:w="100" w:type="dxa"/>
              <w:bottom w:w="80" w:type="dxa"/>
              <w:end w:w="100" w:type="dxa"/>
            </w:tcMar>
          </w:tcPr>
          <w:p>
            <w:r/>
            <w:r>
              <w:rPr>
                <w:rFonts w:ascii="Aptos" w:hAnsi="Aptos"/>
                <w:b w:val="0"/>
                <w:sz w:val="18"/>
              </w:rPr>
              <w:t>One person MAY hold multiple roles during founding-stage operation. Role separation is desirable as KEP grows but is not required for v0.1. Delegation of execution does not transfer accountability unless a formal ownership change is recorded.</w:t>
            </w:r>
          </w:p>
        </w:tc>
      </w:tr>
      <w:tr>
        <w:tc>
          <w:tcPr>
            <w:tcW w:type="dxa" w:w="1944"/>
            <w:vAlign w:val="center"/>
            <w:tcMar>
              <w:top w:w="80" w:type="dxa"/>
              <w:start w:w="100" w:type="dxa"/>
              <w:bottom w:w="80" w:type="dxa"/>
              <w:end w:w="100" w:type="dxa"/>
            </w:tcMar>
            <w:shd w:fill="17365D"/>
          </w:tcPr>
          <w:p>
            <w:r/>
            <w:r>
              <w:rPr>
                <w:rFonts w:ascii="Aptos" w:hAnsi="Aptos"/>
                <w:b/>
                <w:color w:val="FFFFFF"/>
                <w:sz w:val="18"/>
              </w:rPr>
              <w:t>Reconsideration trigger</w:t>
            </w:r>
          </w:p>
        </w:tc>
        <w:tc>
          <w:tcPr>
            <w:tcW w:type="dxa" w:w="8136"/>
            <w:vAlign w:val="center"/>
            <w:tcMar>
              <w:top w:w="80" w:type="dxa"/>
              <w:start w:w="100" w:type="dxa"/>
              <w:bottom w:w="80" w:type="dxa"/>
              <w:end w:w="100" w:type="dxa"/>
            </w:tcMar>
          </w:tcPr>
          <w:p>
            <w:r/>
            <w:r>
              <w:rPr>
                <w:rFonts w:ascii="Aptos" w:hAnsi="Aptos"/>
                <w:b w:val="0"/>
                <w:sz w:val="18"/>
              </w:rPr>
              <w:t>Growth in contributor count, risk, platform reach, conflict-of-interest exposure, or independence requirements makes separation materially beneficial.</w:t>
            </w:r>
          </w:p>
        </w:tc>
      </w:tr>
    </w:tbl>
    <w:p>
      <w:pPr>
        <w:spacing w:after="20"/>
      </w:pPr>
    </w:p>
    <w:p>
      <w:pPr>
        <w:pStyle w:val="Heading2"/>
      </w:pPr>
      <w:r>
        <w:t>UD-002 - Governance Review Cadence</w:t>
      </w:r>
    </w:p>
    <w:tbl>
      <w:tblPr>
        <w:tblStyle w:val="TableGrid"/>
        <w:tblW w:type="auto" w:w="0"/>
        <w:jc w:val="center"/>
        <w:tblLayout w:type="fixed"/>
        <w:tblLook w:firstColumn="1" w:firstRow="1" w:lastColumn="0" w:lastRow="0" w:noHBand="0" w:noVBand="1" w:val="04A0"/>
      </w:tblPr>
      <w:tblGrid>
        <w:gridCol w:w="1944"/>
        <w:gridCol w:w="8136"/>
      </w:tblGrid>
      <w:tr>
        <w:tc>
          <w:tcPr>
            <w:tcW w:type="dxa" w:w="1944"/>
            <w:vAlign w:val="center"/>
            <w:tcMar>
              <w:top w:w="80" w:type="dxa"/>
              <w:start w:w="100" w:type="dxa"/>
              <w:bottom w:w="80" w:type="dxa"/>
              <w:end w:w="100" w:type="dxa"/>
            </w:tcMar>
            <w:shd w:fill="17365D"/>
          </w:tcPr>
          <w:p>
            <w:r/>
            <w:r>
              <w:rPr>
                <w:rFonts w:ascii="Aptos" w:hAnsi="Aptos"/>
                <w:b/>
                <w:color w:val="FFFFFF"/>
                <w:sz w:val="18"/>
              </w:rPr>
              <w:t>Decision</w:t>
            </w:r>
          </w:p>
        </w:tc>
        <w:tc>
          <w:tcPr>
            <w:tcW w:type="dxa" w:w="8136"/>
            <w:vAlign w:val="center"/>
            <w:tcMar>
              <w:top w:w="80" w:type="dxa"/>
              <w:start w:w="100" w:type="dxa"/>
              <w:bottom w:w="80" w:type="dxa"/>
              <w:end w:w="100" w:type="dxa"/>
            </w:tcMar>
          </w:tcPr>
          <w:p>
            <w:r/>
            <w:r>
              <w:rPr>
                <w:rFonts w:ascii="Aptos" w:hAnsi="Aptos"/>
                <w:b w:val="0"/>
                <w:sz w:val="18"/>
              </w:rPr>
              <w:t>Foundational governance receives an annual formal review. Operational policies and standards are reviewed every six months. Exceptions are reviewed at their defined expiry or review date. A material legal, security, architecture, ownership, or platform-scope change triggers immediate review.</w:t>
            </w:r>
          </w:p>
        </w:tc>
      </w:tr>
      <w:tr>
        <w:tc>
          <w:tcPr>
            <w:tcW w:type="dxa" w:w="1944"/>
            <w:vAlign w:val="center"/>
            <w:tcMar>
              <w:top w:w="80" w:type="dxa"/>
              <w:start w:w="100" w:type="dxa"/>
              <w:bottom w:w="80" w:type="dxa"/>
              <w:end w:w="100" w:type="dxa"/>
            </w:tcMar>
            <w:shd w:fill="17365D"/>
          </w:tcPr>
          <w:p>
            <w:r/>
            <w:r>
              <w:rPr>
                <w:rFonts w:ascii="Aptos" w:hAnsi="Aptos"/>
                <w:b/>
                <w:color w:val="FFFFFF"/>
                <w:sz w:val="18"/>
              </w:rPr>
              <w:t>Rationale</w:t>
            </w:r>
          </w:p>
        </w:tc>
        <w:tc>
          <w:tcPr>
            <w:tcW w:type="dxa" w:w="8136"/>
            <w:vAlign w:val="center"/>
            <w:tcMar>
              <w:top w:w="80" w:type="dxa"/>
              <w:start w:w="100" w:type="dxa"/>
              <w:bottom w:w="80" w:type="dxa"/>
              <w:end w:w="100" w:type="dxa"/>
            </w:tcMar>
          </w:tcPr>
          <w:p>
            <w:r/>
            <w:r>
              <w:rPr>
                <w:rFonts w:ascii="Aptos" w:hAnsi="Aptos"/>
                <w:b w:val="0"/>
                <w:sz w:val="18"/>
              </w:rPr>
              <w:t>A predictable cadence prevents silent policy decay while avoiding continuous ceremonial review.</w:t>
            </w:r>
          </w:p>
        </w:tc>
      </w:tr>
      <w:tr>
        <w:tc>
          <w:tcPr>
            <w:tcW w:type="dxa" w:w="1944"/>
            <w:vAlign w:val="center"/>
            <w:tcMar>
              <w:top w:w="80" w:type="dxa"/>
              <w:start w:w="100" w:type="dxa"/>
              <w:bottom w:w="80" w:type="dxa"/>
              <w:end w:w="100" w:type="dxa"/>
            </w:tcMar>
            <w:shd w:fill="17365D"/>
          </w:tcPr>
          <w:p>
            <w:r/>
            <w:r>
              <w:rPr>
                <w:rFonts w:ascii="Aptos" w:hAnsi="Aptos"/>
                <w:b/>
                <w:color w:val="FFFFFF"/>
                <w:sz w:val="18"/>
              </w:rPr>
              <w:t>Binding boundary</w:t>
            </w:r>
          </w:p>
        </w:tc>
        <w:tc>
          <w:tcPr>
            <w:tcW w:type="dxa" w:w="8136"/>
            <w:vAlign w:val="center"/>
            <w:tcMar>
              <w:top w:w="80" w:type="dxa"/>
              <w:start w:w="100" w:type="dxa"/>
              <w:bottom w:w="80" w:type="dxa"/>
              <w:end w:w="100" w:type="dxa"/>
            </w:tcMar>
          </w:tcPr>
          <w:p>
            <w:r/>
            <w:r>
              <w:rPr>
                <w:rFonts w:ascii="Aptos" w:hAnsi="Aptos"/>
                <w:b w:val="0"/>
                <w:sz w:val="18"/>
              </w:rPr>
              <w:t>Review does not imply automatic change. Each review SHALL record continuation, amendment, replacement, or retirement disposition.</w:t>
            </w:r>
          </w:p>
        </w:tc>
      </w:tr>
      <w:tr>
        <w:tc>
          <w:tcPr>
            <w:tcW w:type="dxa" w:w="1944"/>
            <w:vAlign w:val="center"/>
            <w:tcMar>
              <w:top w:w="80" w:type="dxa"/>
              <w:start w:w="100" w:type="dxa"/>
              <w:bottom w:w="80" w:type="dxa"/>
              <w:end w:w="100" w:type="dxa"/>
            </w:tcMar>
            <w:shd w:fill="17365D"/>
          </w:tcPr>
          <w:p>
            <w:r/>
            <w:r>
              <w:rPr>
                <w:rFonts w:ascii="Aptos" w:hAnsi="Aptos"/>
                <w:b/>
                <w:color w:val="FFFFFF"/>
                <w:sz w:val="18"/>
              </w:rPr>
              <w:t>Reconsideration trigger</w:t>
            </w:r>
          </w:p>
        </w:tc>
        <w:tc>
          <w:tcPr>
            <w:tcW w:type="dxa" w:w="8136"/>
            <w:vAlign w:val="center"/>
            <w:tcMar>
              <w:top w:w="80" w:type="dxa"/>
              <w:start w:w="100" w:type="dxa"/>
              <w:bottom w:w="80" w:type="dxa"/>
              <w:end w:w="100" w:type="dxa"/>
            </w:tcMar>
          </w:tcPr>
          <w:p>
            <w:r/>
            <w:r>
              <w:rPr>
                <w:rFonts w:ascii="Aptos" w:hAnsi="Aptos"/>
                <w:b w:val="0"/>
                <w:sz w:val="18"/>
              </w:rPr>
              <w:t>Repeated exceptions, material incidents, or evidence that the cadence is too slow or unnecessarily burdensome.</w:t>
            </w:r>
          </w:p>
        </w:tc>
      </w:tr>
    </w:tbl>
    <w:p>
      <w:pPr>
        <w:spacing w:after="20"/>
      </w:pPr>
    </w:p>
    <w:p>
      <w:pPr>
        <w:pStyle w:val="Heading2"/>
      </w:pPr>
      <w:r>
        <w:t>UD-003 - Repository Topology</w:t>
      </w:r>
    </w:p>
    <w:tbl>
      <w:tblPr>
        <w:tblStyle w:val="TableGrid"/>
        <w:tblW w:type="auto" w:w="0"/>
        <w:jc w:val="center"/>
        <w:tblLayout w:type="fixed"/>
        <w:tblLook w:firstColumn="1" w:firstRow="1" w:lastColumn="0" w:lastRow="0" w:noHBand="0" w:noVBand="1" w:val="04A0"/>
      </w:tblPr>
      <w:tblGrid>
        <w:gridCol w:w="1944"/>
        <w:gridCol w:w="8136"/>
      </w:tblGrid>
      <w:tr>
        <w:tc>
          <w:tcPr>
            <w:tcW w:type="dxa" w:w="1944"/>
            <w:vAlign w:val="center"/>
            <w:tcMar>
              <w:top w:w="80" w:type="dxa"/>
              <w:start w:w="100" w:type="dxa"/>
              <w:bottom w:w="80" w:type="dxa"/>
              <w:end w:w="100" w:type="dxa"/>
            </w:tcMar>
            <w:shd w:fill="17365D"/>
          </w:tcPr>
          <w:p>
            <w:r/>
            <w:r>
              <w:rPr>
                <w:rFonts w:ascii="Aptos" w:hAnsi="Aptos"/>
                <w:b/>
                <w:color w:val="FFFFFF"/>
                <w:sz w:val="18"/>
              </w:rPr>
              <w:t>Decision</w:t>
            </w:r>
          </w:p>
        </w:tc>
        <w:tc>
          <w:tcPr>
            <w:tcW w:type="dxa" w:w="8136"/>
            <w:vAlign w:val="center"/>
            <w:tcMar>
              <w:top w:w="80" w:type="dxa"/>
              <w:start w:w="100" w:type="dxa"/>
              <w:bottom w:w="80" w:type="dxa"/>
              <w:end w:w="100" w:type="dxa"/>
            </w:tcMar>
          </w:tcPr>
          <w:p>
            <w:r/>
            <w:r>
              <w:rPr>
                <w:rFonts w:ascii="Aptos" w:hAnsi="Aptos"/>
                <w:b w:val="0"/>
                <w:sz w:val="18"/>
              </w:rPr>
              <w:t>KEP v0.1 SHALL use one canonical repository with the logical structure docs/, contracts/, skills/, playbooks/, templates/, schemas/, tools/, verification/, examples/, and research/.</w:t>
            </w:r>
          </w:p>
        </w:tc>
      </w:tr>
      <w:tr>
        <w:tc>
          <w:tcPr>
            <w:tcW w:type="dxa" w:w="1944"/>
            <w:vAlign w:val="center"/>
            <w:tcMar>
              <w:top w:w="80" w:type="dxa"/>
              <w:start w:w="100" w:type="dxa"/>
              <w:bottom w:w="80" w:type="dxa"/>
              <w:end w:w="100" w:type="dxa"/>
            </w:tcMar>
            <w:shd w:fill="17365D"/>
          </w:tcPr>
          <w:p>
            <w:r/>
            <w:r>
              <w:rPr>
                <w:rFonts w:ascii="Aptos" w:hAnsi="Aptos"/>
                <w:b/>
                <w:color w:val="FFFFFF"/>
                <w:sz w:val="18"/>
              </w:rPr>
              <w:t>Rationale</w:t>
            </w:r>
          </w:p>
        </w:tc>
        <w:tc>
          <w:tcPr>
            <w:tcW w:type="dxa" w:w="8136"/>
            <w:vAlign w:val="center"/>
            <w:tcMar>
              <w:top w:w="80" w:type="dxa"/>
              <w:start w:w="100" w:type="dxa"/>
              <w:bottom w:w="80" w:type="dxa"/>
              <w:end w:w="100" w:type="dxa"/>
            </w:tcMar>
          </w:tcPr>
          <w:p>
            <w:r/>
            <w:r>
              <w:rPr>
                <w:rFonts w:ascii="Aptos" w:hAnsi="Aptos"/>
                <w:b w:val="0"/>
                <w:sz w:val="18"/>
              </w:rPr>
              <w:t>A single repository minimizes coordination cost and keeps founding knowledge, contracts, and tooling discoverable while boundaries remain under validation.</w:t>
            </w:r>
          </w:p>
        </w:tc>
      </w:tr>
      <w:tr>
        <w:tc>
          <w:tcPr>
            <w:tcW w:type="dxa" w:w="1944"/>
            <w:vAlign w:val="center"/>
            <w:tcMar>
              <w:top w:w="80" w:type="dxa"/>
              <w:start w:w="100" w:type="dxa"/>
              <w:bottom w:w="80" w:type="dxa"/>
              <w:end w:w="100" w:type="dxa"/>
            </w:tcMar>
            <w:shd w:fill="17365D"/>
          </w:tcPr>
          <w:p>
            <w:r/>
            <w:r>
              <w:rPr>
                <w:rFonts w:ascii="Aptos" w:hAnsi="Aptos"/>
                <w:b/>
                <w:color w:val="FFFFFF"/>
                <w:sz w:val="18"/>
              </w:rPr>
              <w:t>Binding boundary</w:t>
            </w:r>
          </w:p>
        </w:tc>
        <w:tc>
          <w:tcPr>
            <w:tcW w:type="dxa" w:w="8136"/>
            <w:vAlign w:val="center"/>
            <w:tcMar>
              <w:top w:w="80" w:type="dxa"/>
              <w:start w:w="100" w:type="dxa"/>
              <w:bottom w:w="80" w:type="dxa"/>
              <w:end w:w="100" w:type="dxa"/>
            </w:tcMar>
          </w:tcPr>
          <w:p>
            <w:r/>
            <w:r>
              <w:rPr>
                <w:rFonts w:ascii="Aptos" w:hAnsi="Aptos"/>
                <w:b w:val="0"/>
                <w:sz w:val="18"/>
              </w:rPr>
              <w:t>KEP SHALL NOT split into multiple repositories during v0.1 unless a formally approved architecture decision demonstrates a proven need for separately versioned packages or runtime services.</w:t>
            </w:r>
          </w:p>
        </w:tc>
      </w:tr>
      <w:tr>
        <w:tc>
          <w:tcPr>
            <w:tcW w:type="dxa" w:w="1944"/>
            <w:vAlign w:val="center"/>
            <w:tcMar>
              <w:top w:w="80" w:type="dxa"/>
              <w:start w:w="100" w:type="dxa"/>
              <w:bottom w:w="80" w:type="dxa"/>
              <w:end w:w="100" w:type="dxa"/>
            </w:tcMar>
            <w:shd w:fill="17365D"/>
          </w:tcPr>
          <w:p>
            <w:r/>
            <w:r>
              <w:rPr>
                <w:rFonts w:ascii="Aptos" w:hAnsi="Aptos"/>
                <w:b/>
                <w:color w:val="FFFFFF"/>
                <w:sz w:val="18"/>
              </w:rPr>
              <w:t>Reconsideration trigger</w:t>
            </w:r>
          </w:p>
        </w:tc>
        <w:tc>
          <w:tcPr>
            <w:tcW w:type="dxa" w:w="8136"/>
            <w:vAlign w:val="center"/>
            <w:tcMar>
              <w:top w:w="80" w:type="dxa"/>
              <w:start w:w="100" w:type="dxa"/>
              <w:bottom w:w="80" w:type="dxa"/>
              <w:end w:w="100" w:type="dxa"/>
            </w:tcMar>
          </w:tcPr>
          <w:p>
            <w:r/>
            <w:r>
              <w:rPr>
                <w:rFonts w:ascii="Aptos" w:hAnsi="Aptos"/>
                <w:b w:val="0"/>
                <w:sz w:val="18"/>
              </w:rPr>
              <w:t>Independent release cadence, access-control boundary, scale, runtime isolation, or consumer demand demonstrates that a split reduces total cost and coupling.</w:t>
            </w:r>
          </w:p>
        </w:tc>
      </w:tr>
    </w:tbl>
    <w:p>
      <w:pPr>
        <w:spacing w:after="20"/>
      </w:pPr>
    </w:p>
    <w:p>
      <w:pPr>
        <w:pStyle w:val="Heading2"/>
      </w:pPr>
      <w:r>
        <w:t>UD-004 - Canonical Artifact Formats</w:t>
      </w:r>
    </w:p>
    <w:tbl>
      <w:tblPr>
        <w:tblStyle w:val="TableGrid"/>
        <w:tblW w:type="auto" w:w="0"/>
        <w:jc w:val="center"/>
        <w:tblLayout w:type="fixed"/>
        <w:tblLook w:firstColumn="1" w:firstRow="1" w:lastColumn="0" w:lastRow="0" w:noHBand="0" w:noVBand="1" w:val="04A0"/>
      </w:tblPr>
      <w:tblGrid>
        <w:gridCol w:w="1944"/>
        <w:gridCol w:w="8136"/>
      </w:tblGrid>
      <w:tr>
        <w:tc>
          <w:tcPr>
            <w:tcW w:type="dxa" w:w="1944"/>
            <w:vAlign w:val="center"/>
            <w:tcMar>
              <w:top w:w="80" w:type="dxa"/>
              <w:start w:w="100" w:type="dxa"/>
              <w:bottom w:w="80" w:type="dxa"/>
              <w:end w:w="100" w:type="dxa"/>
            </w:tcMar>
            <w:shd w:fill="17365D"/>
          </w:tcPr>
          <w:p>
            <w:r/>
            <w:r>
              <w:rPr>
                <w:rFonts w:ascii="Aptos" w:hAnsi="Aptos"/>
                <w:b/>
                <w:color w:val="FFFFFF"/>
                <w:sz w:val="18"/>
              </w:rPr>
              <w:t>Decision</w:t>
            </w:r>
          </w:p>
        </w:tc>
        <w:tc>
          <w:tcPr>
            <w:tcW w:type="dxa" w:w="8136"/>
            <w:vAlign w:val="center"/>
            <w:tcMar>
              <w:top w:w="80" w:type="dxa"/>
              <w:start w:w="100" w:type="dxa"/>
              <w:bottom w:w="80" w:type="dxa"/>
              <w:end w:w="100" w:type="dxa"/>
            </w:tcMar>
          </w:tcPr>
          <w:p>
            <w:r/>
            <w:r>
              <w:rPr>
                <w:rFonts w:ascii="Aptos" w:hAnsi="Aptos"/>
                <w:b w:val="0"/>
                <w:sz w:val="18"/>
              </w:rPr>
              <w:t>Human-readable normative artifacts use Markdown. Machine-readable normative artifacts use JSON or YAML governed by versioned JSON Schema. Each artifact class SHALL declare which representation is authoritative.</w:t>
            </w:r>
          </w:p>
        </w:tc>
      </w:tr>
      <w:tr>
        <w:tc>
          <w:tcPr>
            <w:tcW w:type="dxa" w:w="1944"/>
            <w:vAlign w:val="center"/>
            <w:tcMar>
              <w:top w:w="80" w:type="dxa"/>
              <w:start w:w="100" w:type="dxa"/>
              <w:bottom w:w="80" w:type="dxa"/>
              <w:end w:w="100" w:type="dxa"/>
            </w:tcMar>
            <w:shd w:fill="17365D"/>
          </w:tcPr>
          <w:p>
            <w:r/>
            <w:r>
              <w:rPr>
                <w:rFonts w:ascii="Aptos" w:hAnsi="Aptos"/>
                <w:b/>
                <w:color w:val="FFFFFF"/>
                <w:sz w:val="18"/>
              </w:rPr>
              <w:t>Rationale</w:t>
            </w:r>
          </w:p>
        </w:tc>
        <w:tc>
          <w:tcPr>
            <w:tcW w:type="dxa" w:w="8136"/>
            <w:vAlign w:val="center"/>
            <w:tcMar>
              <w:top w:w="80" w:type="dxa"/>
              <w:start w:w="100" w:type="dxa"/>
              <w:bottom w:w="80" w:type="dxa"/>
              <w:end w:w="100" w:type="dxa"/>
            </w:tcMar>
          </w:tcPr>
          <w:p>
            <w:r/>
            <w:r>
              <w:rPr>
                <w:rFonts w:ascii="Aptos" w:hAnsi="Aptos"/>
                <w:b w:val="0"/>
                <w:sz w:val="18"/>
              </w:rPr>
              <w:t>KEP requires forms that are usable by humans and deterministic for automation without declaring one representation authoritative for every artifact class.</w:t>
            </w:r>
          </w:p>
        </w:tc>
      </w:tr>
      <w:tr>
        <w:tc>
          <w:tcPr>
            <w:tcW w:type="dxa" w:w="1944"/>
            <w:vAlign w:val="center"/>
            <w:tcMar>
              <w:top w:w="80" w:type="dxa"/>
              <w:start w:w="100" w:type="dxa"/>
              <w:bottom w:w="80" w:type="dxa"/>
              <w:end w:w="100" w:type="dxa"/>
            </w:tcMar>
            <w:shd w:fill="17365D"/>
          </w:tcPr>
          <w:p>
            <w:r/>
            <w:r>
              <w:rPr>
                <w:rFonts w:ascii="Aptos" w:hAnsi="Aptos"/>
                <w:b/>
                <w:color w:val="FFFFFF"/>
                <w:sz w:val="18"/>
              </w:rPr>
              <w:t>Binding boundary</w:t>
            </w:r>
          </w:p>
        </w:tc>
        <w:tc>
          <w:tcPr>
            <w:tcW w:type="dxa" w:w="8136"/>
            <w:vAlign w:val="center"/>
            <w:tcMar>
              <w:top w:w="80" w:type="dxa"/>
              <w:start w:w="100" w:type="dxa"/>
              <w:bottom w:w="80" w:type="dxa"/>
              <w:end w:w="100" w:type="dxa"/>
            </w:tcMar>
          </w:tcPr>
          <w:p>
            <w:r/>
            <w:r>
              <w:rPr>
                <w:rFonts w:ascii="Aptos" w:hAnsi="Aptos"/>
                <w:b w:val="0"/>
                <w:sz w:val="18"/>
              </w:rPr>
              <w:t>Where human-readable and machine-readable forms coexist, automated validation SHALL detect disagreement. Authority SHALL be defined per artifact class, not globally.</w:t>
            </w:r>
          </w:p>
        </w:tc>
      </w:tr>
      <w:tr>
        <w:tc>
          <w:tcPr>
            <w:tcW w:type="dxa" w:w="1944"/>
            <w:vAlign w:val="center"/>
            <w:tcMar>
              <w:top w:w="80" w:type="dxa"/>
              <w:start w:w="100" w:type="dxa"/>
              <w:bottom w:w="80" w:type="dxa"/>
              <w:end w:w="100" w:type="dxa"/>
            </w:tcMar>
            <w:shd w:fill="17365D"/>
          </w:tcPr>
          <w:p>
            <w:r/>
            <w:r>
              <w:rPr>
                <w:rFonts w:ascii="Aptos" w:hAnsi="Aptos"/>
                <w:b/>
                <w:color w:val="FFFFFF"/>
                <w:sz w:val="18"/>
              </w:rPr>
              <w:t>Reconsideration trigger</w:t>
            </w:r>
          </w:p>
        </w:tc>
        <w:tc>
          <w:tcPr>
            <w:tcW w:type="dxa" w:w="8136"/>
            <w:vAlign w:val="center"/>
            <w:tcMar>
              <w:top w:w="80" w:type="dxa"/>
              <w:start w:w="100" w:type="dxa"/>
              <w:bottom w:w="80" w:type="dxa"/>
              <w:end w:w="100" w:type="dxa"/>
            </w:tcMar>
          </w:tcPr>
          <w:p>
            <w:r/>
            <w:r>
              <w:rPr>
                <w:rFonts w:ascii="Aptos" w:hAnsi="Aptos"/>
                <w:b w:val="0"/>
                <w:sz w:val="18"/>
              </w:rPr>
              <w:t>Evidence shows that the selected formats impede portability, reviewability, deterministic validation, or long-term preservation.</w:t>
            </w:r>
          </w:p>
        </w:tc>
      </w:tr>
    </w:tbl>
    <w:p>
      <w:pPr>
        <w:spacing w:after="20"/>
      </w:pPr>
    </w:p>
    <w:p>
      <w:pPr>
        <w:pStyle w:val="Heading2"/>
      </w:pPr>
      <w:r>
        <w:t>UD-005 - v0.1 Validation Products</w:t>
      </w:r>
    </w:p>
    <w:tbl>
      <w:tblPr>
        <w:tblStyle w:val="TableGrid"/>
        <w:tblW w:type="auto" w:w="0"/>
        <w:jc w:val="center"/>
        <w:tblLayout w:type="fixed"/>
        <w:tblLook w:firstColumn="1" w:firstRow="1" w:lastColumn="0" w:lastRow="0" w:noHBand="0" w:noVBand="1" w:val="04A0"/>
      </w:tblPr>
      <w:tblGrid>
        <w:gridCol w:w="1944"/>
        <w:gridCol w:w="8136"/>
      </w:tblGrid>
      <w:tr>
        <w:tc>
          <w:tcPr>
            <w:tcW w:type="dxa" w:w="1944"/>
            <w:vAlign w:val="center"/>
            <w:tcMar>
              <w:top w:w="80" w:type="dxa"/>
              <w:start w:w="100" w:type="dxa"/>
              <w:bottom w:w="80" w:type="dxa"/>
              <w:end w:w="100" w:type="dxa"/>
            </w:tcMar>
            <w:shd w:fill="17365D"/>
          </w:tcPr>
          <w:p>
            <w:r/>
            <w:r>
              <w:rPr>
                <w:rFonts w:ascii="Aptos" w:hAnsi="Aptos"/>
                <w:b/>
                <w:color w:val="FFFFFF"/>
                <w:sz w:val="18"/>
              </w:rPr>
              <w:t>Decision</w:t>
            </w:r>
          </w:p>
        </w:tc>
        <w:tc>
          <w:tcPr>
            <w:tcW w:type="dxa" w:w="8136"/>
            <w:vAlign w:val="center"/>
            <w:tcMar>
              <w:top w:w="80" w:type="dxa"/>
              <w:start w:w="100" w:type="dxa"/>
              <w:bottom w:w="80" w:type="dxa"/>
              <w:end w:w="100" w:type="dxa"/>
            </w:tcMar>
          </w:tcPr>
          <w:p>
            <w:r/>
            <w:r>
              <w:rPr>
                <w:rFonts w:ascii="Aptos" w:hAnsi="Aptos"/>
                <w:b w:val="0"/>
                <w:sz w:val="18"/>
              </w:rPr>
              <w:t>Metro-X Precision is the primary validation product. One technically different project, such as an integration gateway or analytics platform, is the secondary validation context. Two representative contexts are required before general KEP v1.0 release.</w:t>
            </w:r>
          </w:p>
        </w:tc>
      </w:tr>
      <w:tr>
        <w:tc>
          <w:tcPr>
            <w:tcW w:type="dxa" w:w="1944"/>
            <w:vAlign w:val="center"/>
            <w:tcMar>
              <w:top w:w="80" w:type="dxa"/>
              <w:start w:w="100" w:type="dxa"/>
              <w:bottom w:w="80" w:type="dxa"/>
              <w:end w:w="100" w:type="dxa"/>
            </w:tcMar>
            <w:shd w:fill="17365D"/>
          </w:tcPr>
          <w:p>
            <w:r/>
            <w:r>
              <w:rPr>
                <w:rFonts w:ascii="Aptos" w:hAnsi="Aptos"/>
                <w:b/>
                <w:color w:val="FFFFFF"/>
                <w:sz w:val="18"/>
              </w:rPr>
              <w:t>Rationale</w:t>
            </w:r>
          </w:p>
        </w:tc>
        <w:tc>
          <w:tcPr>
            <w:tcW w:type="dxa" w:w="8136"/>
            <w:vAlign w:val="center"/>
            <w:tcMar>
              <w:top w:w="80" w:type="dxa"/>
              <w:start w:w="100" w:type="dxa"/>
              <w:bottom w:w="80" w:type="dxa"/>
              <w:end w:w="100" w:type="dxa"/>
            </w:tcMar>
          </w:tcPr>
          <w:p>
            <w:r/>
            <w:r>
              <w:rPr>
                <w:rFonts w:ascii="Aptos" w:hAnsi="Aptos"/>
                <w:b w:val="0"/>
                <w:sz w:val="18"/>
              </w:rPr>
              <w:t>One product can validate usability but cannot establish product independence. A technically different context exposes hidden domain and architecture assumptions.</w:t>
            </w:r>
          </w:p>
        </w:tc>
      </w:tr>
      <w:tr>
        <w:tc>
          <w:tcPr>
            <w:tcW w:type="dxa" w:w="1944"/>
            <w:vAlign w:val="center"/>
            <w:tcMar>
              <w:top w:w="80" w:type="dxa"/>
              <w:start w:w="100" w:type="dxa"/>
              <w:bottom w:w="80" w:type="dxa"/>
              <w:end w:w="100" w:type="dxa"/>
            </w:tcMar>
            <w:shd w:fill="17365D"/>
          </w:tcPr>
          <w:p>
            <w:r/>
            <w:r>
              <w:rPr>
                <w:rFonts w:ascii="Aptos" w:hAnsi="Aptos"/>
                <w:b/>
                <w:color w:val="FFFFFF"/>
                <w:sz w:val="18"/>
              </w:rPr>
              <w:t>Binding boundary</w:t>
            </w:r>
          </w:p>
        </w:tc>
        <w:tc>
          <w:tcPr>
            <w:tcW w:type="dxa" w:w="8136"/>
            <w:vAlign w:val="center"/>
            <w:tcMar>
              <w:top w:w="80" w:type="dxa"/>
              <w:start w:w="100" w:type="dxa"/>
              <w:bottom w:w="80" w:type="dxa"/>
              <w:end w:w="100" w:type="dxa"/>
            </w:tcMar>
          </w:tcPr>
          <w:p>
            <w:r/>
            <w:r>
              <w:rPr>
                <w:rFonts w:ascii="Aptos" w:hAnsi="Aptos"/>
                <w:b w:val="0"/>
                <w:sz w:val="18"/>
              </w:rPr>
              <w:t>Metro-X Precision alone MAY support early v0.1 iteration but SHALL NOT be represented as sufficient proof of product independence or general v1.0 readiness.</w:t>
            </w:r>
          </w:p>
        </w:tc>
      </w:tr>
      <w:tr>
        <w:tc>
          <w:tcPr>
            <w:tcW w:type="dxa" w:w="1944"/>
            <w:vAlign w:val="center"/>
            <w:tcMar>
              <w:top w:w="80" w:type="dxa"/>
              <w:start w:w="100" w:type="dxa"/>
              <w:bottom w:w="80" w:type="dxa"/>
              <w:end w:w="100" w:type="dxa"/>
            </w:tcMar>
            <w:shd w:fill="17365D"/>
          </w:tcPr>
          <w:p>
            <w:r/>
            <w:r>
              <w:rPr>
                <w:rFonts w:ascii="Aptos" w:hAnsi="Aptos"/>
                <w:b/>
                <w:color w:val="FFFFFF"/>
                <w:sz w:val="18"/>
              </w:rPr>
              <w:t>Reconsideration trigger</w:t>
            </w:r>
          </w:p>
        </w:tc>
        <w:tc>
          <w:tcPr>
            <w:tcW w:type="dxa" w:w="8136"/>
            <w:vAlign w:val="center"/>
            <w:tcMar>
              <w:top w:w="80" w:type="dxa"/>
              <w:start w:w="100" w:type="dxa"/>
              <w:bottom w:w="80" w:type="dxa"/>
              <w:end w:w="100" w:type="dxa"/>
            </w:tcMar>
          </w:tcPr>
          <w:p>
            <w:r/>
            <w:r>
              <w:rPr>
                <w:rFonts w:ascii="Aptos" w:hAnsi="Aptos"/>
                <w:b w:val="0"/>
                <w:sz w:val="18"/>
              </w:rPr>
              <w:t>The selected contexts cease to be representative or a materially different third context reveals untested platform assumptions.</w:t>
            </w:r>
          </w:p>
        </w:tc>
      </w:tr>
    </w:tbl>
    <w:p>
      <w:pPr>
        <w:spacing w:after="20"/>
      </w:pPr>
    </w:p>
    <w:p>
      <w:pPr>
        <w:pStyle w:val="Heading2"/>
      </w:pPr>
      <w:r>
        <w:t>UD-006 - Risk Classification Model</w:t>
      </w:r>
    </w:p>
    <w:tbl>
      <w:tblPr>
        <w:tblStyle w:val="TableGrid"/>
        <w:tblW w:type="auto" w:w="0"/>
        <w:jc w:val="center"/>
        <w:tblLayout w:type="fixed"/>
        <w:tblLook w:firstColumn="1" w:firstRow="1" w:lastColumn="0" w:lastRow="0" w:noHBand="0" w:noVBand="1" w:val="04A0"/>
      </w:tblPr>
      <w:tblGrid>
        <w:gridCol w:w="1944"/>
        <w:gridCol w:w="8136"/>
      </w:tblGrid>
      <w:tr>
        <w:tc>
          <w:tcPr>
            <w:tcW w:type="dxa" w:w="1944"/>
            <w:vAlign w:val="center"/>
            <w:tcMar>
              <w:top w:w="80" w:type="dxa"/>
              <w:start w:w="100" w:type="dxa"/>
              <w:bottom w:w="80" w:type="dxa"/>
              <w:end w:w="100" w:type="dxa"/>
            </w:tcMar>
            <w:shd w:fill="17365D"/>
          </w:tcPr>
          <w:p>
            <w:r/>
            <w:r>
              <w:rPr>
                <w:rFonts w:ascii="Aptos" w:hAnsi="Aptos"/>
                <w:b/>
                <w:color w:val="FFFFFF"/>
                <w:sz w:val="18"/>
              </w:rPr>
              <w:t>Decision</w:t>
            </w:r>
          </w:p>
        </w:tc>
        <w:tc>
          <w:tcPr>
            <w:tcW w:type="dxa" w:w="8136"/>
            <w:vAlign w:val="center"/>
            <w:tcMar>
              <w:top w:w="80" w:type="dxa"/>
              <w:start w:w="100" w:type="dxa"/>
              <w:bottom w:w="80" w:type="dxa"/>
              <w:end w:w="100" w:type="dxa"/>
            </w:tcMar>
          </w:tcPr>
          <w:p>
            <w:r/>
            <w:r>
              <w:rPr>
                <w:rFonts w:ascii="Aptos" w:hAnsi="Aptos"/>
                <w:b w:val="0"/>
                <w:sz w:val="18"/>
              </w:rPr>
              <w:t>KEP SHALL use five initial change-risk classes: R0 Editorial/no runtime impact; R1 Low-risk localized change; R2 Moderate functional or integration change; R3 High-risk security, data, architecture, migration, or production change; R4 Critical legal, financial, safety, identity, regulated-data, or irreversible change.</w:t>
            </w:r>
          </w:p>
        </w:tc>
      </w:tr>
      <w:tr>
        <w:tc>
          <w:tcPr>
            <w:tcW w:type="dxa" w:w="1944"/>
            <w:vAlign w:val="center"/>
            <w:tcMar>
              <w:top w:w="80" w:type="dxa"/>
              <w:start w:w="100" w:type="dxa"/>
              <w:bottom w:w="80" w:type="dxa"/>
              <w:end w:w="100" w:type="dxa"/>
            </w:tcMar>
            <w:shd w:fill="17365D"/>
          </w:tcPr>
          <w:p>
            <w:r/>
            <w:r>
              <w:rPr>
                <w:rFonts w:ascii="Aptos" w:hAnsi="Aptos"/>
                <w:b/>
                <w:color w:val="FFFFFF"/>
                <w:sz w:val="18"/>
              </w:rPr>
              <w:t>Rationale</w:t>
            </w:r>
          </w:p>
        </w:tc>
        <w:tc>
          <w:tcPr>
            <w:tcW w:type="dxa" w:w="8136"/>
            <w:vAlign w:val="center"/>
            <w:tcMar>
              <w:top w:w="80" w:type="dxa"/>
              <w:start w:w="100" w:type="dxa"/>
              <w:bottom w:w="80" w:type="dxa"/>
              <w:end w:w="100" w:type="dxa"/>
            </w:tcMar>
          </w:tcPr>
          <w:p>
            <w:r/>
            <w:r>
              <w:rPr>
                <w:rFonts w:ascii="Aptos" w:hAnsi="Aptos"/>
                <w:b w:val="0"/>
                <w:sz w:val="18"/>
              </w:rPr>
              <w:t>Risk-proportional governance prevents high-risk work from being under-controlled and low-risk work from inheriting disproportionate process.</w:t>
            </w:r>
          </w:p>
        </w:tc>
      </w:tr>
      <w:tr>
        <w:tc>
          <w:tcPr>
            <w:tcW w:type="dxa" w:w="1944"/>
            <w:vAlign w:val="center"/>
            <w:tcMar>
              <w:top w:w="80" w:type="dxa"/>
              <w:start w:w="100" w:type="dxa"/>
              <w:bottom w:w="80" w:type="dxa"/>
              <w:end w:w="100" w:type="dxa"/>
            </w:tcMar>
            <w:shd w:fill="17365D"/>
          </w:tcPr>
          <w:p>
            <w:r/>
            <w:r>
              <w:rPr>
                <w:rFonts w:ascii="Aptos" w:hAnsi="Aptos"/>
                <w:b/>
                <w:color w:val="FFFFFF"/>
                <w:sz w:val="18"/>
              </w:rPr>
              <w:t>Binding boundary</w:t>
            </w:r>
          </w:p>
        </w:tc>
        <w:tc>
          <w:tcPr>
            <w:tcW w:type="dxa" w:w="8136"/>
            <w:vAlign w:val="center"/>
            <w:tcMar>
              <w:top w:w="80" w:type="dxa"/>
              <w:start w:w="100" w:type="dxa"/>
              <w:bottom w:w="80" w:type="dxa"/>
              <w:end w:w="100" w:type="dxa"/>
            </w:tcMar>
          </w:tcPr>
          <w:p>
            <w:r/>
            <w:r>
              <w:rPr>
                <w:rFonts w:ascii="Aptos" w:hAnsi="Aptos"/>
                <w:b w:val="0"/>
                <w:sz w:val="18"/>
              </w:rPr>
              <w:t>Quality gates, evidence, review depth, and approval authority SHALL scale with the assigned risk class. Risk classification MAY be raised when later evidence shows the original classification was insufficient.</w:t>
            </w:r>
          </w:p>
        </w:tc>
      </w:tr>
      <w:tr>
        <w:tc>
          <w:tcPr>
            <w:tcW w:type="dxa" w:w="1944"/>
            <w:vAlign w:val="center"/>
            <w:tcMar>
              <w:top w:w="80" w:type="dxa"/>
              <w:start w:w="100" w:type="dxa"/>
              <w:bottom w:w="80" w:type="dxa"/>
              <w:end w:w="100" w:type="dxa"/>
            </w:tcMar>
            <w:shd w:fill="17365D"/>
          </w:tcPr>
          <w:p>
            <w:r/>
            <w:r>
              <w:rPr>
                <w:rFonts w:ascii="Aptos" w:hAnsi="Aptos"/>
                <w:b/>
                <w:color w:val="FFFFFF"/>
                <w:sz w:val="18"/>
              </w:rPr>
              <w:t>Reconsideration trigger</w:t>
            </w:r>
          </w:p>
        </w:tc>
        <w:tc>
          <w:tcPr>
            <w:tcW w:type="dxa" w:w="8136"/>
            <w:vAlign w:val="center"/>
            <w:tcMar>
              <w:top w:w="80" w:type="dxa"/>
              <w:start w:w="100" w:type="dxa"/>
              <w:bottom w:w="80" w:type="dxa"/>
              <w:end w:w="100" w:type="dxa"/>
            </w:tcMar>
          </w:tcPr>
          <w:p>
            <w:r/>
            <w:r>
              <w:rPr>
                <w:rFonts w:ascii="Aptos" w:hAnsi="Aptos"/>
                <w:b w:val="0"/>
                <w:sz w:val="18"/>
              </w:rPr>
              <w:t>Operational evidence demonstrates systematic under-classification, over-classification, or ambiguity between classes.</w:t>
            </w:r>
          </w:p>
        </w:tc>
      </w:tr>
    </w:tbl>
    <w:p>
      <w:pPr>
        <w:spacing w:after="20"/>
      </w:pPr>
    </w:p>
    <w:p>
      <w:pPr>
        <w:pStyle w:val="Heading2"/>
      </w:pPr>
      <w:r>
        <w:t>UD-007 - Operations CLI Direction</w:t>
      </w:r>
    </w:p>
    <w:tbl>
      <w:tblPr>
        <w:tblStyle w:val="TableGrid"/>
        <w:tblW w:type="auto" w:w="0"/>
        <w:jc w:val="center"/>
        <w:tblLayout w:type="fixed"/>
        <w:tblLook w:firstColumn="1" w:firstRow="1" w:lastColumn="0" w:lastRow="0" w:noHBand="0" w:noVBand="1" w:val="04A0"/>
      </w:tblPr>
      <w:tblGrid>
        <w:gridCol w:w="1944"/>
        <w:gridCol w:w="8136"/>
      </w:tblGrid>
      <w:tr>
        <w:tc>
          <w:tcPr>
            <w:tcW w:type="dxa" w:w="1944"/>
            <w:vAlign w:val="center"/>
            <w:tcMar>
              <w:top w:w="80" w:type="dxa"/>
              <w:start w:w="100" w:type="dxa"/>
              <w:bottom w:w="80" w:type="dxa"/>
              <w:end w:w="100" w:type="dxa"/>
            </w:tcMar>
            <w:shd w:fill="17365D"/>
          </w:tcPr>
          <w:p>
            <w:r/>
            <w:r>
              <w:rPr>
                <w:rFonts w:ascii="Aptos" w:hAnsi="Aptos"/>
                <w:b/>
                <w:color w:val="FFFFFF"/>
                <w:sz w:val="18"/>
              </w:rPr>
              <w:t>Decision</w:t>
            </w:r>
          </w:p>
        </w:tc>
        <w:tc>
          <w:tcPr>
            <w:tcW w:type="dxa" w:w="8136"/>
            <w:vAlign w:val="center"/>
            <w:tcMar>
              <w:top w:w="80" w:type="dxa"/>
              <w:start w:w="100" w:type="dxa"/>
              <w:bottom w:w="80" w:type="dxa"/>
              <w:end w:w="100" w:type="dxa"/>
            </w:tcMar>
          </w:tcPr>
          <w:p>
            <w:r/>
            <w:r>
              <w:rPr>
                <w:rFonts w:ascii="Aptos" w:hAnsi="Aptos"/>
                <w:b w:val="0"/>
                <w:sz w:val="18"/>
              </w:rPr>
              <w:t>The v0.1 implementation direction is TypeScript on Node.js, distributed as an npm package with a repository-local launcher. Initial supported platforms are Windows, Linux, and macOS. Initial command surfaces are kep status, kep doctor, kep init, kep validate, kep verify, kep gate, and kep report.</w:t>
            </w:r>
          </w:p>
        </w:tc>
      </w:tr>
      <w:tr>
        <w:tc>
          <w:tcPr>
            <w:tcW w:type="dxa" w:w="1944"/>
            <w:vAlign w:val="center"/>
            <w:tcMar>
              <w:top w:w="80" w:type="dxa"/>
              <w:start w:w="100" w:type="dxa"/>
              <w:bottom w:w="80" w:type="dxa"/>
              <w:end w:w="100" w:type="dxa"/>
            </w:tcMar>
            <w:shd w:fill="17365D"/>
          </w:tcPr>
          <w:p>
            <w:r/>
            <w:r>
              <w:rPr>
                <w:rFonts w:ascii="Aptos" w:hAnsi="Aptos"/>
                <w:b/>
                <w:color w:val="FFFFFF"/>
                <w:sz w:val="18"/>
              </w:rPr>
              <w:t>Rationale</w:t>
            </w:r>
          </w:p>
        </w:tc>
        <w:tc>
          <w:tcPr>
            <w:tcW w:type="dxa" w:w="8136"/>
            <w:vAlign w:val="center"/>
            <w:tcMar>
              <w:top w:w="80" w:type="dxa"/>
              <w:start w:w="100" w:type="dxa"/>
              <w:bottom w:w="80" w:type="dxa"/>
              <w:end w:w="100" w:type="dxa"/>
            </w:tcMar>
          </w:tcPr>
          <w:p>
            <w:r/>
            <w:r>
              <w:rPr>
                <w:rFonts w:ascii="Aptos" w:hAnsi="Aptos"/>
                <w:b w:val="0"/>
                <w:sz w:val="18"/>
              </w:rPr>
              <w:t>This direction provides cross-platform reach and an accessible packaging model while allowing the normative CLI interface to remain vendor-neutral.</w:t>
            </w:r>
          </w:p>
        </w:tc>
      </w:tr>
      <w:tr>
        <w:tc>
          <w:tcPr>
            <w:tcW w:type="dxa" w:w="1944"/>
            <w:vAlign w:val="center"/>
            <w:tcMar>
              <w:top w:w="80" w:type="dxa"/>
              <w:start w:w="100" w:type="dxa"/>
              <w:bottom w:w="80" w:type="dxa"/>
              <w:end w:w="100" w:type="dxa"/>
            </w:tcMar>
            <w:shd w:fill="17365D"/>
          </w:tcPr>
          <w:p>
            <w:r/>
            <w:r>
              <w:rPr>
                <w:rFonts w:ascii="Aptos" w:hAnsi="Aptos"/>
                <w:b/>
                <w:color w:val="FFFFFF"/>
                <w:sz w:val="18"/>
              </w:rPr>
              <w:t>Binding boundary</w:t>
            </w:r>
          </w:p>
        </w:tc>
        <w:tc>
          <w:tcPr>
            <w:tcW w:type="dxa" w:w="8136"/>
            <w:vAlign w:val="center"/>
            <w:tcMar>
              <w:top w:w="80" w:type="dxa"/>
              <w:start w:w="100" w:type="dxa"/>
              <w:bottom w:w="80" w:type="dxa"/>
              <w:end w:w="100" w:type="dxa"/>
            </w:tcMar>
          </w:tcPr>
          <w:p>
            <w:r/>
            <w:r>
              <w:rPr>
                <w:rFonts w:ascii="Aptos" w:hAnsi="Aptos"/>
                <w:b w:val="0"/>
                <w:sz w:val="18"/>
              </w:rPr>
              <w:t>The CLI contract remains technology- and vendor-neutral. Detailed implementation, extension, packaging, security, and compatibility choices SHALL be approved in a separate CLI architecture document before implementation is finalized.</w:t>
            </w:r>
          </w:p>
        </w:tc>
      </w:tr>
      <w:tr>
        <w:tc>
          <w:tcPr>
            <w:tcW w:type="dxa" w:w="1944"/>
            <w:vAlign w:val="center"/>
            <w:tcMar>
              <w:top w:w="80" w:type="dxa"/>
              <w:start w:w="100" w:type="dxa"/>
              <w:bottom w:w="80" w:type="dxa"/>
              <w:end w:w="100" w:type="dxa"/>
            </w:tcMar>
            <w:shd w:fill="17365D"/>
          </w:tcPr>
          <w:p>
            <w:r/>
            <w:r>
              <w:rPr>
                <w:rFonts w:ascii="Aptos" w:hAnsi="Aptos"/>
                <w:b/>
                <w:color w:val="FFFFFF"/>
                <w:sz w:val="18"/>
              </w:rPr>
              <w:t>Reconsideration trigger</w:t>
            </w:r>
          </w:p>
        </w:tc>
        <w:tc>
          <w:tcPr>
            <w:tcW w:type="dxa" w:w="8136"/>
            <w:vAlign w:val="center"/>
            <w:tcMar>
              <w:top w:w="80" w:type="dxa"/>
              <w:start w:w="100" w:type="dxa"/>
              <w:bottom w:w="80" w:type="dxa"/>
              <w:end w:w="100" w:type="dxa"/>
            </w:tcMar>
          </w:tcPr>
          <w:p>
            <w:r/>
            <w:r>
              <w:rPr>
                <w:rFonts w:ascii="Aptos" w:hAnsi="Aptos"/>
                <w:b w:val="0"/>
                <w:sz w:val="18"/>
              </w:rPr>
              <w:t>Runtime support, portability, security, distribution constraints, or measured maintenance cost invalidate the selected direction.</w:t>
            </w:r>
          </w:p>
        </w:tc>
      </w:tr>
    </w:tbl>
    <w:p>
      <w:pPr>
        <w:spacing w:after="20"/>
      </w:pPr>
    </w:p>
    <w:p>
      <w:pPr>
        <w:pStyle w:val="Heading2"/>
      </w:pPr>
      <w:r>
        <w:t>UD-016 - Licensing and External Distribution</w:t>
      </w:r>
    </w:p>
    <w:tbl>
      <w:tblPr>
        <w:tblStyle w:val="TableGrid"/>
        <w:tblW w:type="auto" w:w="0"/>
        <w:jc w:val="center"/>
        <w:tblLayout w:type="fixed"/>
        <w:tblLook w:firstColumn="1" w:firstRow="1" w:lastColumn="0" w:lastRow="0" w:noHBand="0" w:noVBand="1" w:val="04A0"/>
      </w:tblPr>
      <w:tblGrid>
        <w:gridCol w:w="1944"/>
        <w:gridCol w:w="8136"/>
      </w:tblGrid>
      <w:tr>
        <w:tc>
          <w:tcPr>
            <w:tcW w:type="dxa" w:w="1944"/>
            <w:vAlign w:val="center"/>
            <w:tcMar>
              <w:top w:w="80" w:type="dxa"/>
              <w:start w:w="100" w:type="dxa"/>
              <w:bottom w:w="80" w:type="dxa"/>
              <w:end w:w="100" w:type="dxa"/>
            </w:tcMar>
            <w:shd w:fill="17365D"/>
          </w:tcPr>
          <w:p>
            <w:r/>
            <w:r>
              <w:rPr>
                <w:rFonts w:ascii="Aptos" w:hAnsi="Aptos"/>
                <w:b/>
                <w:color w:val="FFFFFF"/>
                <w:sz w:val="18"/>
              </w:rPr>
              <w:t>Decision</w:t>
            </w:r>
          </w:p>
        </w:tc>
        <w:tc>
          <w:tcPr>
            <w:tcW w:type="dxa" w:w="8136"/>
            <w:vAlign w:val="center"/>
            <w:tcMar>
              <w:top w:w="80" w:type="dxa"/>
              <w:start w:w="100" w:type="dxa"/>
              <w:bottom w:w="80" w:type="dxa"/>
              <w:end w:w="100" w:type="dxa"/>
            </w:tcMar>
          </w:tcPr>
          <w:p>
            <w:r/>
            <w:r>
              <w:rPr>
                <w:rFonts w:ascii="Aptos" w:hAnsi="Aptos"/>
                <w:b w:val="0"/>
                <w:sz w:val="18"/>
              </w:rPr>
              <w:t>The canonical KEP repository remains private during the founding phase. KEP v0.x is all rights reserved. Licensing SHALL be reconsidered before external beta or public release.</w:t>
            </w:r>
          </w:p>
        </w:tc>
      </w:tr>
      <w:tr>
        <w:tc>
          <w:tcPr>
            <w:tcW w:type="dxa" w:w="1944"/>
            <w:vAlign w:val="center"/>
            <w:tcMar>
              <w:top w:w="80" w:type="dxa"/>
              <w:start w:w="100" w:type="dxa"/>
              <w:bottom w:w="80" w:type="dxa"/>
              <w:end w:w="100" w:type="dxa"/>
            </w:tcMar>
            <w:shd w:fill="17365D"/>
          </w:tcPr>
          <w:p>
            <w:r/>
            <w:r>
              <w:rPr>
                <w:rFonts w:ascii="Aptos" w:hAnsi="Aptos"/>
                <w:b/>
                <w:color w:val="FFFFFF"/>
                <w:sz w:val="18"/>
              </w:rPr>
              <w:t>Rationale</w:t>
            </w:r>
          </w:p>
        </w:tc>
        <w:tc>
          <w:tcPr>
            <w:tcW w:type="dxa" w:w="8136"/>
            <w:vAlign w:val="center"/>
            <w:tcMar>
              <w:top w:w="80" w:type="dxa"/>
              <w:start w:w="100" w:type="dxa"/>
              <w:bottom w:w="80" w:type="dxa"/>
              <w:end w:w="100" w:type="dxa"/>
            </w:tcMar>
          </w:tcPr>
          <w:p>
            <w:r/>
            <w:r>
              <w:rPr>
                <w:rFonts w:ascii="Aptos" w:hAnsi="Aptos"/>
                <w:b w:val="0"/>
                <w:sz w:val="18"/>
              </w:rPr>
              <w:t>Founding-stage governance, ownership, contribution policy, and distribution boundaries are not mature enough for an irreversible public licensing choice.</w:t>
            </w:r>
          </w:p>
        </w:tc>
      </w:tr>
      <w:tr>
        <w:tc>
          <w:tcPr>
            <w:tcW w:type="dxa" w:w="1944"/>
            <w:vAlign w:val="center"/>
            <w:tcMar>
              <w:top w:w="80" w:type="dxa"/>
              <w:start w:w="100" w:type="dxa"/>
              <w:bottom w:w="80" w:type="dxa"/>
              <w:end w:w="100" w:type="dxa"/>
            </w:tcMar>
            <w:shd w:fill="17365D"/>
          </w:tcPr>
          <w:p>
            <w:r/>
            <w:r>
              <w:rPr>
                <w:rFonts w:ascii="Aptos" w:hAnsi="Aptos"/>
                <w:b/>
                <w:color w:val="FFFFFF"/>
                <w:sz w:val="18"/>
              </w:rPr>
              <w:t>Binding boundary</w:t>
            </w:r>
          </w:p>
        </w:tc>
        <w:tc>
          <w:tcPr>
            <w:tcW w:type="dxa" w:w="8136"/>
            <w:vAlign w:val="center"/>
            <w:tcMar>
              <w:top w:w="80" w:type="dxa"/>
              <w:start w:w="100" w:type="dxa"/>
              <w:bottom w:w="80" w:type="dxa"/>
              <w:end w:w="100" w:type="dxa"/>
            </w:tcMar>
          </w:tcPr>
          <w:p>
            <w:r/>
            <w:r>
              <w:rPr>
                <w:rFonts w:ascii="Aptos" w:hAnsi="Aptos"/>
                <w:b w:val="0"/>
                <w:sz w:val="18"/>
              </w:rPr>
              <w:t>No open-source or source-available license is selected by this record. Internal access does not imply redistribution rights.</w:t>
            </w:r>
          </w:p>
        </w:tc>
      </w:tr>
      <w:tr>
        <w:tc>
          <w:tcPr>
            <w:tcW w:type="dxa" w:w="1944"/>
            <w:vAlign w:val="center"/>
            <w:tcMar>
              <w:top w:w="80" w:type="dxa"/>
              <w:start w:w="100" w:type="dxa"/>
              <w:bottom w:w="80" w:type="dxa"/>
              <w:end w:w="100" w:type="dxa"/>
            </w:tcMar>
            <w:shd w:fill="17365D"/>
          </w:tcPr>
          <w:p>
            <w:r/>
            <w:r>
              <w:rPr>
                <w:rFonts w:ascii="Aptos" w:hAnsi="Aptos"/>
                <w:b/>
                <w:color w:val="FFFFFF"/>
                <w:sz w:val="18"/>
              </w:rPr>
              <w:t>Reconsideration trigger</w:t>
            </w:r>
          </w:p>
        </w:tc>
        <w:tc>
          <w:tcPr>
            <w:tcW w:type="dxa" w:w="8136"/>
            <w:vAlign w:val="center"/>
            <w:tcMar>
              <w:top w:w="80" w:type="dxa"/>
              <w:start w:w="100" w:type="dxa"/>
              <w:bottom w:w="80" w:type="dxa"/>
              <w:end w:w="100" w:type="dxa"/>
            </w:tcMar>
          </w:tcPr>
          <w:p>
            <w:r/>
            <w:r>
              <w:rPr>
                <w:rFonts w:ascii="Aptos" w:hAnsi="Aptos"/>
                <w:b w:val="0"/>
                <w:sz w:val="18"/>
              </w:rPr>
              <w:t>An external beta, public release, third-party contribution program, commercial distribution model, or strategic partnership requires a licensing decision.</w:t>
            </w:r>
          </w:p>
        </w:tc>
      </w:tr>
    </w:tbl>
    <w:p>
      <w:pPr>
        <w:spacing w:after="20"/>
      </w:pPr>
    </w:p>
    <w:p>
      <w:pPr>
        <w:pStyle w:val="Heading1"/>
      </w:pPr>
      <w:r>
        <w:t>5. Deferred Decisions</w:t>
      </w:r>
    </w:p>
    <w:p>
      <w:r>
        <w:t>UD-008 through UD-015 remain unresolved and non-authoritative. They require separate analysis and approval before their subject matter becomes binding.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tcMar>
              <w:top w:w="80" w:type="dxa"/>
              <w:start w:w="100" w:type="dxa"/>
              <w:bottom w:w="80" w:type="dxa"/>
              <w:end w:w="100" w:type="dxa"/>
            </w:tcMar>
            <w:shd w:fill="17365D"/>
          </w:tcPr>
          <w:p>
            <w:r/>
            <w:r>
              <w:rPr>
                <w:rFonts w:ascii="Aptos" w:hAnsi="Aptos"/>
                <w:b/>
                <w:color w:val="FFFFFF"/>
                <w:sz w:val="18"/>
              </w:rPr>
              <w:t>ID</w:t>
            </w:r>
          </w:p>
        </w:tc>
        <w:tc>
          <w:tcPr>
            <w:tcW w:type="dxa" w:w="2556"/>
            <w:vAlign w:val="center"/>
            <w:tcMar>
              <w:top w:w="80" w:type="dxa"/>
              <w:start w:w="100" w:type="dxa"/>
              <w:bottom w:w="80" w:type="dxa"/>
              <w:end w:w="100" w:type="dxa"/>
            </w:tcMar>
            <w:shd w:fill="17365D"/>
          </w:tcPr>
          <w:p>
            <w:r/>
            <w:r>
              <w:rPr>
                <w:rFonts w:ascii="Aptos" w:hAnsi="Aptos"/>
                <w:b/>
                <w:color w:val="FFFFFF"/>
                <w:sz w:val="18"/>
              </w:rPr>
              <w:t>Decision</w:t>
            </w:r>
          </w:p>
        </w:tc>
        <w:tc>
          <w:tcPr>
            <w:tcW w:type="dxa" w:w="2556"/>
            <w:vAlign w:val="center"/>
            <w:tcMar>
              <w:top w:w="80" w:type="dxa"/>
              <w:start w:w="100" w:type="dxa"/>
              <w:bottom w:w="80" w:type="dxa"/>
              <w:end w:w="100" w:type="dxa"/>
            </w:tcMar>
            <w:shd w:fill="17365D"/>
          </w:tcPr>
          <w:p>
            <w:r/>
            <w:r>
              <w:rPr>
                <w:rFonts w:ascii="Aptos" w:hAnsi="Aptos"/>
                <w:b/>
                <w:color w:val="FFFFFF"/>
                <w:sz w:val="18"/>
              </w:rPr>
              <w:t>Required next authority</w:t>
            </w:r>
          </w:p>
        </w:tc>
        <w:tc>
          <w:tcPr>
            <w:tcW w:type="dxa" w:w="2556"/>
            <w:vAlign w:val="center"/>
            <w:tcMar>
              <w:top w:w="80" w:type="dxa"/>
              <w:start w:w="100" w:type="dxa"/>
              <w:bottom w:w="80" w:type="dxa"/>
              <w:end w:w="100" w:type="dxa"/>
            </w:tcMar>
            <w:shd w:fill="17365D"/>
          </w:tcPr>
          <w:p>
            <w:r/>
            <w:r>
              <w:rPr>
                <w:rFonts w:ascii="Aptos" w:hAnsi="Aptos"/>
                <w:b/>
                <w:color w:val="FFFFFF"/>
                <w:sz w:val="18"/>
              </w:rPr>
              <w:t>Current effect</w:t>
            </w:r>
          </w:p>
        </w:tc>
      </w:tr>
      <w:tr>
        <w:tc>
          <w:tcPr>
            <w:tcW w:type="dxa" w:w="2556"/>
            <w:vAlign w:val="center"/>
            <w:tcMar>
              <w:top w:w="80" w:type="dxa"/>
              <w:start w:w="100" w:type="dxa"/>
              <w:bottom w:w="80" w:type="dxa"/>
              <w:end w:w="100" w:type="dxa"/>
            </w:tcMar>
          </w:tcPr>
          <w:p>
            <w:r/>
            <w:r>
              <w:rPr>
                <w:rFonts w:ascii="Aptos" w:hAnsi="Aptos"/>
                <w:b w:val="0"/>
                <w:sz w:val="17"/>
              </w:rPr>
              <w:t>UD-008</w:t>
            </w:r>
          </w:p>
        </w:tc>
        <w:tc>
          <w:tcPr>
            <w:tcW w:type="dxa" w:w="2556"/>
            <w:vAlign w:val="center"/>
            <w:tcMar>
              <w:top w:w="80" w:type="dxa"/>
              <w:start w:w="100" w:type="dxa"/>
              <w:bottom w:w="80" w:type="dxa"/>
              <w:end w:w="100" w:type="dxa"/>
            </w:tcMar>
          </w:tcPr>
          <w:p>
            <w:r/>
            <w:r>
              <w:rPr>
                <w:rFonts w:ascii="Aptos" w:hAnsi="Aptos"/>
                <w:b w:val="0"/>
                <w:sz w:val="17"/>
              </w:rPr>
              <w:t>Identity and access for platform assets</w:t>
            </w:r>
          </w:p>
        </w:tc>
        <w:tc>
          <w:tcPr>
            <w:tcW w:type="dxa" w:w="2556"/>
            <w:vAlign w:val="center"/>
            <w:tcMar>
              <w:top w:w="80" w:type="dxa"/>
              <w:start w:w="100" w:type="dxa"/>
              <w:bottom w:w="80" w:type="dxa"/>
              <w:end w:w="100" w:type="dxa"/>
            </w:tcMar>
          </w:tcPr>
          <w:p>
            <w:r/>
            <w:r>
              <w:rPr>
                <w:rFonts w:ascii="Aptos" w:hAnsi="Aptos"/>
                <w:b w:val="0"/>
                <w:sz w:val="17"/>
              </w:rPr>
              <w:t>Security architecture decision</w:t>
            </w:r>
          </w:p>
        </w:tc>
        <w:tc>
          <w:tcPr>
            <w:tcW w:type="dxa" w:w="2556"/>
            <w:vAlign w:val="center"/>
            <w:tcMar>
              <w:top w:w="80" w:type="dxa"/>
              <w:start w:w="100" w:type="dxa"/>
              <w:bottom w:w="80" w:type="dxa"/>
              <w:end w:w="100" w:type="dxa"/>
            </w:tcMar>
          </w:tcPr>
          <w:p>
            <w:r/>
            <w:r>
              <w:rPr>
                <w:rFonts w:ascii="Aptos" w:hAnsi="Aptos"/>
                <w:b w:val="0"/>
                <w:sz w:val="17"/>
              </w:rPr>
              <w:t>No platform-wide authentication, authorization, signing, or provenance model is adopted.</w:t>
            </w:r>
          </w:p>
        </w:tc>
      </w:tr>
      <w:tr>
        <w:tc>
          <w:tcPr>
            <w:tcW w:type="dxa" w:w="2556"/>
            <w:vAlign w:val="center"/>
            <w:tcMar>
              <w:top w:w="80" w:type="dxa"/>
              <w:start w:w="100" w:type="dxa"/>
              <w:bottom w:w="80" w:type="dxa"/>
              <w:end w:w="100" w:type="dxa"/>
            </w:tcMar>
          </w:tcPr>
          <w:p>
            <w:r/>
            <w:r>
              <w:rPr>
                <w:rFonts w:ascii="Aptos" w:hAnsi="Aptos"/>
                <w:b w:val="0"/>
                <w:sz w:val="17"/>
              </w:rPr>
              <w:t>UD-009</w:t>
            </w:r>
          </w:p>
        </w:tc>
        <w:tc>
          <w:tcPr>
            <w:tcW w:type="dxa" w:w="2556"/>
            <w:vAlign w:val="center"/>
            <w:tcMar>
              <w:top w:w="80" w:type="dxa"/>
              <w:start w:w="100" w:type="dxa"/>
              <w:bottom w:w="80" w:type="dxa"/>
              <w:end w:w="100" w:type="dxa"/>
            </w:tcMar>
          </w:tcPr>
          <w:p>
            <w:r/>
            <w:r>
              <w:rPr>
                <w:rFonts w:ascii="Aptos" w:hAnsi="Aptos"/>
                <w:b w:val="0"/>
                <w:sz w:val="17"/>
              </w:rPr>
              <w:t>Evidence storage and retention</w:t>
            </w:r>
          </w:p>
        </w:tc>
        <w:tc>
          <w:tcPr>
            <w:tcW w:type="dxa" w:w="2556"/>
            <w:vAlign w:val="center"/>
            <w:tcMar>
              <w:top w:w="80" w:type="dxa"/>
              <w:start w:w="100" w:type="dxa"/>
              <w:bottom w:w="80" w:type="dxa"/>
              <w:end w:w="100" w:type="dxa"/>
            </w:tcMar>
          </w:tcPr>
          <w:p>
            <w:r/>
            <w:r>
              <w:rPr>
                <w:rFonts w:ascii="Aptos" w:hAnsi="Aptos"/>
                <w:b w:val="0"/>
                <w:sz w:val="17"/>
              </w:rPr>
              <w:t>Operational and data-contract decision</w:t>
            </w:r>
          </w:p>
        </w:tc>
        <w:tc>
          <w:tcPr>
            <w:tcW w:type="dxa" w:w="2556"/>
            <w:vAlign w:val="center"/>
            <w:tcMar>
              <w:top w:w="80" w:type="dxa"/>
              <w:start w:w="100" w:type="dxa"/>
              <w:bottom w:w="80" w:type="dxa"/>
              <w:end w:w="100" w:type="dxa"/>
            </w:tcMar>
          </w:tcPr>
          <w:p>
            <w:r/>
            <w:r>
              <w:rPr>
                <w:rFonts w:ascii="Aptos" w:hAnsi="Aptos"/>
                <w:b w:val="0"/>
                <w:sz w:val="17"/>
              </w:rPr>
              <w:t>No canonical evidence store, retention period, or integrity model is adopted.</w:t>
            </w:r>
          </w:p>
        </w:tc>
      </w:tr>
      <w:tr>
        <w:tc>
          <w:tcPr>
            <w:tcW w:type="dxa" w:w="2556"/>
            <w:vAlign w:val="center"/>
            <w:tcMar>
              <w:top w:w="80" w:type="dxa"/>
              <w:start w:w="100" w:type="dxa"/>
              <w:bottom w:w="80" w:type="dxa"/>
              <w:end w:w="100" w:type="dxa"/>
            </w:tcMar>
          </w:tcPr>
          <w:p>
            <w:r/>
            <w:r>
              <w:rPr>
                <w:rFonts w:ascii="Aptos" w:hAnsi="Aptos"/>
                <w:b w:val="0"/>
                <w:sz w:val="17"/>
              </w:rPr>
              <w:t>UD-010</w:t>
            </w:r>
          </w:p>
        </w:tc>
        <w:tc>
          <w:tcPr>
            <w:tcW w:type="dxa" w:w="2556"/>
            <w:vAlign w:val="center"/>
            <w:tcMar>
              <w:top w:w="80" w:type="dxa"/>
              <w:start w:w="100" w:type="dxa"/>
              <w:bottom w:w="80" w:type="dxa"/>
              <w:end w:w="100" w:type="dxa"/>
            </w:tcMar>
          </w:tcPr>
          <w:p>
            <w:r/>
            <w:r>
              <w:rPr>
                <w:rFonts w:ascii="Aptos" w:hAnsi="Aptos"/>
                <w:b w:val="0"/>
                <w:sz w:val="17"/>
              </w:rPr>
              <w:t>Agent execution log boundary</w:t>
            </w:r>
          </w:p>
        </w:tc>
        <w:tc>
          <w:tcPr>
            <w:tcW w:type="dxa" w:w="2556"/>
            <w:vAlign w:val="center"/>
            <w:tcMar>
              <w:top w:w="80" w:type="dxa"/>
              <w:start w:w="100" w:type="dxa"/>
              <w:bottom w:w="80" w:type="dxa"/>
              <w:end w:w="100" w:type="dxa"/>
            </w:tcMar>
          </w:tcPr>
          <w:p>
            <w:r/>
            <w:r>
              <w:rPr>
                <w:rFonts w:ascii="Aptos" w:hAnsi="Aptos"/>
                <w:b w:val="0"/>
                <w:sz w:val="17"/>
              </w:rPr>
              <w:t>Privacy, security, and operational policy</w:t>
            </w:r>
          </w:p>
        </w:tc>
        <w:tc>
          <w:tcPr>
            <w:tcW w:type="dxa" w:w="2556"/>
            <w:vAlign w:val="center"/>
            <w:tcMar>
              <w:top w:w="80" w:type="dxa"/>
              <w:start w:w="100" w:type="dxa"/>
              <w:bottom w:w="80" w:type="dxa"/>
              <w:end w:w="100" w:type="dxa"/>
            </w:tcMar>
          </w:tcPr>
          <w:p>
            <w:r/>
            <w:r>
              <w:rPr>
                <w:rFonts w:ascii="Aptos" w:hAnsi="Aptos"/>
                <w:b w:val="0"/>
                <w:sz w:val="17"/>
              </w:rPr>
              <w:t>No universal logging scope, sensitive-context rule, or retention period is adopted.</w:t>
            </w:r>
          </w:p>
        </w:tc>
      </w:tr>
      <w:tr>
        <w:tc>
          <w:tcPr>
            <w:tcW w:type="dxa" w:w="2556"/>
            <w:vAlign w:val="center"/>
            <w:tcMar>
              <w:top w:w="80" w:type="dxa"/>
              <w:start w:w="100" w:type="dxa"/>
              <w:bottom w:w="80" w:type="dxa"/>
              <w:end w:w="100" w:type="dxa"/>
            </w:tcMar>
          </w:tcPr>
          <w:p>
            <w:r/>
            <w:r>
              <w:rPr>
                <w:rFonts w:ascii="Aptos" w:hAnsi="Aptos"/>
                <w:b w:val="0"/>
                <w:sz w:val="17"/>
              </w:rPr>
              <w:t>UD-011</w:t>
            </w:r>
          </w:p>
        </w:tc>
        <w:tc>
          <w:tcPr>
            <w:tcW w:type="dxa" w:w="2556"/>
            <w:vAlign w:val="center"/>
            <w:tcMar>
              <w:top w:w="80" w:type="dxa"/>
              <w:start w:w="100" w:type="dxa"/>
              <w:bottom w:w="80" w:type="dxa"/>
              <w:end w:w="100" w:type="dxa"/>
            </w:tcMar>
          </w:tcPr>
          <w:p>
            <w:r/>
            <w:r>
              <w:rPr>
                <w:rFonts w:ascii="Aptos" w:hAnsi="Aptos"/>
                <w:b w:val="0"/>
                <w:sz w:val="17"/>
              </w:rPr>
              <w:t>Metric baselines and targets</w:t>
            </w:r>
          </w:p>
        </w:tc>
        <w:tc>
          <w:tcPr>
            <w:tcW w:type="dxa" w:w="2556"/>
            <w:vAlign w:val="center"/>
            <w:tcMar>
              <w:top w:w="80" w:type="dxa"/>
              <w:start w:w="100" w:type="dxa"/>
              <w:bottom w:w="80" w:type="dxa"/>
              <w:end w:w="100" w:type="dxa"/>
            </w:tcMar>
          </w:tcPr>
          <w:p>
            <w:r/>
            <w:r>
              <w:rPr>
                <w:rFonts w:ascii="Aptos" w:hAnsi="Aptos"/>
                <w:b w:val="0"/>
                <w:sz w:val="17"/>
              </w:rPr>
              <w:t>Metric-governance decision after baseline collection</w:t>
            </w:r>
          </w:p>
        </w:tc>
        <w:tc>
          <w:tcPr>
            <w:tcW w:type="dxa" w:w="2556"/>
            <w:vAlign w:val="center"/>
            <w:tcMar>
              <w:top w:w="80" w:type="dxa"/>
              <w:start w:w="100" w:type="dxa"/>
              <w:bottom w:w="80" w:type="dxa"/>
              <w:end w:w="100" w:type="dxa"/>
            </w:tcMar>
          </w:tcPr>
          <w:p>
            <w:r/>
            <w:r>
              <w:rPr>
                <w:rFonts w:ascii="Aptos" w:hAnsi="Aptos"/>
                <w:b w:val="0"/>
                <w:sz w:val="17"/>
              </w:rPr>
              <w:t>No numeric targets or performance thresholds are adopted.</w:t>
            </w:r>
          </w:p>
        </w:tc>
      </w:tr>
      <w:tr>
        <w:tc>
          <w:tcPr>
            <w:tcW w:type="dxa" w:w="2556"/>
            <w:vAlign w:val="center"/>
            <w:tcMar>
              <w:top w:w="80" w:type="dxa"/>
              <w:start w:w="100" w:type="dxa"/>
              <w:bottom w:w="80" w:type="dxa"/>
              <w:end w:w="100" w:type="dxa"/>
            </w:tcMar>
          </w:tcPr>
          <w:p>
            <w:r/>
            <w:r>
              <w:rPr>
                <w:rFonts w:ascii="Aptos" w:hAnsi="Aptos"/>
                <w:b w:val="0"/>
                <w:sz w:val="17"/>
              </w:rPr>
              <w:t>UD-012</w:t>
            </w:r>
          </w:p>
        </w:tc>
        <w:tc>
          <w:tcPr>
            <w:tcW w:type="dxa" w:w="2556"/>
            <w:vAlign w:val="center"/>
            <w:tcMar>
              <w:top w:w="80" w:type="dxa"/>
              <w:start w:w="100" w:type="dxa"/>
              <w:bottom w:w="80" w:type="dxa"/>
              <w:end w:w="100" w:type="dxa"/>
            </w:tcMar>
          </w:tcPr>
          <w:p>
            <w:r/>
            <w:r>
              <w:rPr>
                <w:rFonts w:ascii="Aptos" w:hAnsi="Aptos"/>
                <w:b w:val="0"/>
                <w:sz w:val="17"/>
              </w:rPr>
              <w:t>Platform service admission policy</w:t>
            </w:r>
          </w:p>
        </w:tc>
        <w:tc>
          <w:tcPr>
            <w:tcW w:type="dxa" w:w="2556"/>
            <w:vAlign w:val="center"/>
            <w:tcMar>
              <w:top w:w="80" w:type="dxa"/>
              <w:start w:w="100" w:type="dxa"/>
              <w:bottom w:w="80" w:type="dxa"/>
              <w:end w:w="100" w:type="dxa"/>
            </w:tcMar>
          </w:tcPr>
          <w:p>
            <w:r/>
            <w:r>
              <w:rPr>
                <w:rFonts w:ascii="Aptos" w:hAnsi="Aptos"/>
                <w:b w:val="0"/>
                <w:sz w:val="17"/>
              </w:rPr>
              <w:t>Platform architecture and operating-model decision</w:t>
            </w:r>
          </w:p>
        </w:tc>
        <w:tc>
          <w:tcPr>
            <w:tcW w:type="dxa" w:w="2556"/>
            <w:vAlign w:val="center"/>
            <w:tcMar>
              <w:top w:w="80" w:type="dxa"/>
              <w:start w:w="100" w:type="dxa"/>
              <w:bottom w:w="80" w:type="dxa"/>
              <w:end w:w="100" w:type="dxa"/>
            </w:tcMar>
          </w:tcPr>
          <w:p>
            <w:r/>
            <w:r>
              <w:rPr>
                <w:rFonts w:ascii="Aptos" w:hAnsi="Aptos"/>
                <w:b w:val="0"/>
                <w:sz w:val="17"/>
              </w:rPr>
              <w:t>No mandatory shared runtime service is authorized.</w:t>
            </w:r>
          </w:p>
        </w:tc>
      </w:tr>
      <w:tr>
        <w:tc>
          <w:tcPr>
            <w:tcW w:type="dxa" w:w="2556"/>
            <w:vAlign w:val="center"/>
            <w:tcMar>
              <w:top w:w="80" w:type="dxa"/>
              <w:start w:w="100" w:type="dxa"/>
              <w:bottom w:w="80" w:type="dxa"/>
              <w:end w:w="100" w:type="dxa"/>
            </w:tcMar>
          </w:tcPr>
          <w:p>
            <w:r/>
            <w:r>
              <w:rPr>
                <w:rFonts w:ascii="Aptos" w:hAnsi="Aptos"/>
                <w:b w:val="0"/>
                <w:sz w:val="17"/>
              </w:rPr>
              <w:t>UD-013</w:t>
            </w:r>
          </w:p>
        </w:tc>
        <w:tc>
          <w:tcPr>
            <w:tcW w:type="dxa" w:w="2556"/>
            <w:vAlign w:val="center"/>
            <w:tcMar>
              <w:top w:w="80" w:type="dxa"/>
              <w:start w:w="100" w:type="dxa"/>
              <w:bottom w:w="80" w:type="dxa"/>
              <w:end w:w="100" w:type="dxa"/>
            </w:tcMar>
          </w:tcPr>
          <w:p>
            <w:r/>
            <w:r>
              <w:rPr>
                <w:rFonts w:ascii="Aptos" w:hAnsi="Aptos"/>
                <w:b w:val="0"/>
                <w:sz w:val="17"/>
              </w:rPr>
              <w:t>Deprecation and support windows</w:t>
            </w:r>
          </w:p>
        </w:tc>
        <w:tc>
          <w:tcPr>
            <w:tcW w:type="dxa" w:w="2556"/>
            <w:vAlign w:val="center"/>
            <w:tcMar>
              <w:top w:w="80" w:type="dxa"/>
              <w:start w:w="100" w:type="dxa"/>
              <w:bottom w:w="80" w:type="dxa"/>
              <w:end w:w="100" w:type="dxa"/>
            </w:tcMar>
          </w:tcPr>
          <w:p>
            <w:r/>
            <w:r>
              <w:rPr>
                <w:rFonts w:ascii="Aptos" w:hAnsi="Aptos"/>
                <w:b w:val="0"/>
                <w:sz w:val="17"/>
              </w:rPr>
              <w:t>Compatibility and release policy</w:t>
            </w:r>
          </w:p>
        </w:tc>
        <w:tc>
          <w:tcPr>
            <w:tcW w:type="dxa" w:w="2556"/>
            <w:vAlign w:val="center"/>
            <w:tcMar>
              <w:top w:w="80" w:type="dxa"/>
              <w:start w:w="100" w:type="dxa"/>
              <w:bottom w:w="80" w:type="dxa"/>
              <w:end w:w="100" w:type="dxa"/>
            </w:tcMar>
          </w:tcPr>
          <w:p>
            <w:r/>
            <w:r>
              <w:rPr>
                <w:rFonts w:ascii="Aptos" w:hAnsi="Aptos"/>
                <w:b w:val="0"/>
                <w:sz w:val="17"/>
              </w:rPr>
              <w:t>No general support period or deprecation timeline is adopted.</w:t>
            </w:r>
          </w:p>
        </w:tc>
      </w:tr>
      <w:tr>
        <w:tc>
          <w:tcPr>
            <w:tcW w:type="dxa" w:w="2556"/>
            <w:vAlign w:val="center"/>
            <w:tcMar>
              <w:top w:w="80" w:type="dxa"/>
              <w:start w:w="100" w:type="dxa"/>
              <w:bottom w:w="80" w:type="dxa"/>
              <w:end w:w="100" w:type="dxa"/>
            </w:tcMar>
          </w:tcPr>
          <w:p>
            <w:r/>
            <w:r>
              <w:rPr>
                <w:rFonts w:ascii="Aptos" w:hAnsi="Aptos"/>
                <w:b w:val="0"/>
                <w:sz w:val="17"/>
              </w:rPr>
              <w:t>UD-014</w:t>
            </w:r>
          </w:p>
        </w:tc>
        <w:tc>
          <w:tcPr>
            <w:tcW w:type="dxa" w:w="2556"/>
            <w:vAlign w:val="center"/>
            <w:tcMar>
              <w:top w:w="80" w:type="dxa"/>
              <w:start w:w="100" w:type="dxa"/>
              <w:bottom w:w="80" w:type="dxa"/>
              <w:end w:w="100" w:type="dxa"/>
            </w:tcMar>
          </w:tcPr>
          <w:p>
            <w:r/>
            <w:r>
              <w:rPr>
                <w:rFonts w:ascii="Aptos" w:hAnsi="Aptos"/>
                <w:b w:val="0"/>
                <w:sz w:val="17"/>
              </w:rPr>
              <w:t>Conflict-of-interest and appeal process</w:t>
            </w:r>
          </w:p>
        </w:tc>
        <w:tc>
          <w:tcPr>
            <w:tcW w:type="dxa" w:w="2556"/>
            <w:vAlign w:val="center"/>
            <w:tcMar>
              <w:top w:w="80" w:type="dxa"/>
              <w:start w:w="100" w:type="dxa"/>
              <w:bottom w:w="80" w:type="dxa"/>
              <w:end w:w="100" w:type="dxa"/>
            </w:tcMar>
          </w:tcPr>
          <w:p>
            <w:r/>
            <w:r>
              <w:rPr>
                <w:rFonts w:ascii="Aptos" w:hAnsi="Aptos"/>
                <w:b w:val="0"/>
                <w:sz w:val="17"/>
              </w:rPr>
              <w:t>Governance policy</w:t>
            </w:r>
          </w:p>
        </w:tc>
        <w:tc>
          <w:tcPr>
            <w:tcW w:type="dxa" w:w="2556"/>
            <w:vAlign w:val="center"/>
            <w:tcMar>
              <w:top w:w="80" w:type="dxa"/>
              <w:start w:w="100" w:type="dxa"/>
              <w:bottom w:w="80" w:type="dxa"/>
              <w:end w:w="100" w:type="dxa"/>
            </w:tcMar>
          </w:tcPr>
          <w:p>
            <w:r/>
            <w:r>
              <w:rPr>
                <w:rFonts w:ascii="Aptos" w:hAnsi="Aptos"/>
                <w:b w:val="0"/>
                <w:sz w:val="17"/>
              </w:rPr>
              <w:t>No formal appeal panel or conflict procedure is adopted beyond existing authority and escalation rules.</w:t>
            </w:r>
          </w:p>
        </w:tc>
      </w:tr>
      <w:tr>
        <w:tc>
          <w:tcPr>
            <w:tcW w:type="dxa" w:w="2556"/>
            <w:vAlign w:val="center"/>
            <w:tcMar>
              <w:top w:w="80" w:type="dxa"/>
              <w:start w:w="100" w:type="dxa"/>
              <w:bottom w:w="80" w:type="dxa"/>
              <w:end w:w="100" w:type="dxa"/>
            </w:tcMar>
          </w:tcPr>
          <w:p>
            <w:r/>
            <w:r>
              <w:rPr>
                <w:rFonts w:ascii="Aptos" w:hAnsi="Aptos"/>
                <w:b w:val="0"/>
                <w:sz w:val="17"/>
              </w:rPr>
              <w:t>UD-015</w:t>
            </w:r>
          </w:p>
        </w:tc>
        <w:tc>
          <w:tcPr>
            <w:tcW w:type="dxa" w:w="2556"/>
            <w:vAlign w:val="center"/>
            <w:tcMar>
              <w:top w:w="80" w:type="dxa"/>
              <w:start w:w="100" w:type="dxa"/>
              <w:bottom w:w="80" w:type="dxa"/>
              <w:end w:w="100" w:type="dxa"/>
            </w:tcMar>
          </w:tcPr>
          <w:p>
            <w:r/>
            <w:r>
              <w:rPr>
                <w:rFonts w:ascii="Aptos" w:hAnsi="Aptos"/>
                <w:b w:val="0"/>
                <w:sz w:val="17"/>
              </w:rPr>
              <w:t>Migration enforcement</w:t>
            </w:r>
          </w:p>
        </w:tc>
        <w:tc>
          <w:tcPr>
            <w:tcW w:type="dxa" w:w="2556"/>
            <w:vAlign w:val="center"/>
            <w:tcMar>
              <w:top w:w="80" w:type="dxa"/>
              <w:start w:w="100" w:type="dxa"/>
              <w:bottom w:w="80" w:type="dxa"/>
              <w:end w:w="100" w:type="dxa"/>
            </w:tcMar>
          </w:tcPr>
          <w:p>
            <w:r/>
            <w:r>
              <w:rPr>
                <w:rFonts w:ascii="Aptos" w:hAnsi="Aptos"/>
                <w:b w:val="0"/>
                <w:sz w:val="17"/>
              </w:rPr>
              <w:t>Executive and platform governance decision</w:t>
            </w:r>
          </w:p>
        </w:tc>
        <w:tc>
          <w:tcPr>
            <w:tcW w:type="dxa" w:w="2556"/>
            <w:vAlign w:val="center"/>
            <w:tcMar>
              <w:top w:w="80" w:type="dxa"/>
              <w:start w:w="100" w:type="dxa"/>
              <w:bottom w:w="80" w:type="dxa"/>
              <w:end w:w="100" w:type="dxa"/>
            </w:tcMar>
          </w:tcPr>
          <w:p>
            <w:r/>
            <w:r>
              <w:rPr>
                <w:rFonts w:ascii="Aptos" w:hAnsi="Aptos"/>
                <w:b w:val="0"/>
                <w:sz w:val="17"/>
              </w:rPr>
              <w:t>No portfolio-wide mandatory migration deadline is adopted.</w:t>
            </w:r>
          </w:p>
        </w:tc>
      </w:tr>
    </w:tbl>
    <w:p>
      <w:pPr>
        <w:pStyle w:val="Heading2"/>
      </w:pPr>
      <w:r>
        <w:t>5.1 Deferred-Decision Control</w:t>
      </w:r>
    </w:p>
    <w:p>
      <w:pPr>
        <w:pStyle w:val="ListBullet"/>
        <w:spacing w:after="40"/>
      </w:pPr>
      <w:r>
        <w:t>A prototype in a deferred area MUST be marked non-authoritative, isolated, reversible, and incapable of creating a de facto standard.</w:t>
      </w:r>
    </w:p>
    <w:p>
      <w:pPr>
        <w:pStyle w:val="ListBullet"/>
        <w:spacing w:after="40"/>
      </w:pPr>
      <w:r>
        <w:t>A local product decision MAY address its own need but SHALL NOT be represented as KEP-wide policy.</w:t>
      </w:r>
    </w:p>
    <w:p>
      <w:pPr>
        <w:pStyle w:val="ListBullet"/>
        <w:spacing w:after="40"/>
      </w:pPr>
      <w:r>
        <w:t>A deferred decision closes only through a versioned decision record approved by the designated accountable authority.</w:t>
      </w:r>
    </w:p>
    <w:p>
      <w:pPr>
        <w:pStyle w:val="ListBullet"/>
        <w:spacing w:after="40"/>
      </w:pPr>
      <w:r>
        <w:t>KEP reports and conformance claims SHALL disclose any material dependency on a deferred area.</w:t>
      </w:r>
    </w:p>
    <w:p>
      <w:pPr>
        <w:pStyle w:val="Heading1"/>
      </w:pPr>
      <w:r>
        <w:t>6. Consequences and Controls</w:t>
      </w:r>
    </w:p>
    <w:p>
      <w:pPr>
        <w:pStyle w:val="ListBullet"/>
        <w:spacing w:after="40"/>
      </w:pPr>
      <w:r>
        <w:t>KEP-001 may be ratified with named founding ownership and an explicit governance cadence.</w:t>
      </w:r>
    </w:p>
    <w:p>
      <w:pPr>
        <w:pStyle w:val="ListBullet"/>
        <w:spacing w:after="40"/>
      </w:pPr>
      <w:r>
        <w:t>KEP v0.1 remains repository-centered and product-independent; no mandatory shared runtime or multi-repository topology is implied.</w:t>
      </w:r>
    </w:p>
    <w:p>
      <w:pPr>
        <w:pStyle w:val="ListBullet"/>
        <w:spacing w:after="40"/>
      </w:pPr>
      <w:r>
        <w:t>Risk-proportional gates may be designed against R0-R4, but numeric thresholds remain subject to later standards.</w:t>
      </w:r>
    </w:p>
    <w:p>
      <w:pPr>
        <w:pStyle w:val="ListBullet"/>
        <w:spacing w:after="40"/>
      </w:pPr>
      <w:r>
        <w:t>The Operations CLI may proceed to architecture design, but this record is not implementation approval.</w:t>
      </w:r>
    </w:p>
    <w:p>
      <w:pPr>
        <w:pStyle w:val="ListBullet"/>
        <w:spacing w:after="40"/>
      </w:pPr>
      <w:r>
        <w:t>General KEP v1.0 release requires evidence from two technically distinct adoption contexts.</w:t>
      </w:r>
    </w:p>
    <w:p>
      <w:pPr>
        <w:pStyle w:val="ListBullet"/>
        <w:spacing w:after="40"/>
      </w:pPr>
      <w:r>
        <w:t>Deferred decisions remain visible and cannot be silently settled by implementation convenience.</w:t>
      </w:r>
    </w:p>
    <w:p>
      <w:pPr>
        <w:pStyle w:val="ListBullet"/>
        <w:spacing w:after="40"/>
      </w:pPr>
      <w:r>
        <w:t>Role concentration is accepted for founding-stage operation and SHALL be reconsidered as scale and risk increase.</w:t>
      </w:r>
    </w:p>
    <w:p>
      <w:pPr>
        <w:pStyle w:val="Heading1"/>
      </w:pPr>
      <w:r>
        <w:t>7. Ratification Conditions</w:t>
      </w:r>
    </w:p>
    <w:p>
      <w:r>
        <w:t>KEP-001 and KEP-001A become effective together when all of the following conditions are satisfied:</w:t>
      </w:r>
    </w:p>
    <w:p>
      <w:pPr>
        <w:pStyle w:val="ListBullet"/>
        <w:spacing w:after="40"/>
      </w:pPr>
      <w:r>
        <w:t>The Founding Authority approves KEP-001 Version 1.0 and this KEP-001A Version 1.0.</w:t>
      </w:r>
    </w:p>
    <w:p>
      <w:pPr>
        <w:pStyle w:val="ListBullet"/>
        <w:spacing w:after="40"/>
      </w:pPr>
      <w:r>
        <w:t>The effective date is recorded.</w:t>
      </w:r>
    </w:p>
    <w:p>
      <w:pPr>
        <w:pStyle w:val="ListBullet"/>
        <w:spacing w:after="40"/>
      </w:pPr>
      <w:r>
        <w:t>The approval is evidenced by signature or an equivalent durable approved record.</w:t>
      </w:r>
    </w:p>
    <w:p>
      <w:pPr>
        <w:pStyle w:val="ListBullet"/>
        <w:spacing w:after="40"/>
      </w:pPr>
      <w:r>
        <w:t>KEP-001 references to the working identifier KEP-001-DR-001 are normalized to KEP-001A in the next controlled editorial revision.</w:t>
      </w:r>
    </w:p>
    <w:p>
      <w:pPr>
        <w:pStyle w:val="ListBullet"/>
        <w:spacing w:after="40"/>
      </w:pPr>
      <w:r>
        <w:t>The canonical repository records both documents as authoritative and identifies KEP-000 as their superior authority.</w:t>
      </w:r>
    </w:p>
    <w:p>
      <w:pPr>
        <w:pStyle w:val="Heading2"/>
      </w:pPr>
      <w:r>
        <w:t>7.1 Effect of Ratification</w:t>
      </w:r>
    </w:p>
    <w:p>
      <w:r>
        <w:t>Upon ratification, the decisions in Section 4 are binding within their stated boundaries. The assignments remain effective until amended, delegated, or superseded through an approved record. The deferred decisions in Section 5 remain non-binding.</w:t>
      </w:r>
    </w:p>
    <w:p>
      <w:pPr>
        <w:pStyle w:val="Heading1"/>
      </w:pPr>
      <w:r>
        <w:t>8. Ratification Record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80" w:type="dxa"/>
              <w:start w:w="100" w:type="dxa"/>
              <w:bottom w:w="80" w:type="dxa"/>
              <w:end w:w="100" w:type="dxa"/>
            </w:tcMar>
            <w:shd w:fill="17365D"/>
          </w:tcPr>
          <w:p>
            <w:r/>
            <w:r>
              <w:rPr>
                <w:rFonts w:ascii="Aptos" w:hAnsi="Aptos"/>
                <w:b/>
                <w:color w:val="FFFFFF"/>
                <w:sz w:val="18"/>
              </w:rPr>
              <w:t>Ratified By</w:t>
            </w:r>
          </w:p>
        </w:tc>
        <w:tc>
          <w:tcPr>
            <w:tcW w:type="dxa" w:w="5112"/>
            <w:vAlign w:val="center"/>
            <w:tcMar>
              <w:top w:w="80" w:type="dxa"/>
              <w:start w:w="100" w:type="dxa"/>
              <w:bottom w:w="80" w:type="dxa"/>
              <w:end w:w="100" w:type="dxa"/>
            </w:tcMar>
          </w:tcPr>
          <w:p>
            <w:r/>
            <w:r>
              <w:rPr>
                <w:rFonts w:ascii="Aptos" w:hAnsi="Aptos"/>
                <w:b w:val="0"/>
                <w:sz w:val="18"/>
              </w:rPr>
              <w:t>Kashif Muhammad Younus</w:t>
            </w:r>
          </w:p>
        </w:tc>
      </w:tr>
      <w:tr>
        <w:tc>
          <w:tcPr>
            <w:tcW w:type="dxa" w:w="5112"/>
            <w:vAlign w:val="center"/>
            <w:tcMar>
              <w:top w:w="80" w:type="dxa"/>
              <w:start w:w="100" w:type="dxa"/>
              <w:bottom w:w="80" w:type="dxa"/>
              <w:end w:w="100" w:type="dxa"/>
            </w:tcMar>
            <w:shd w:fill="17365D"/>
          </w:tcPr>
          <w:p>
            <w:r/>
            <w:r>
              <w:rPr>
                <w:rFonts w:ascii="Aptos" w:hAnsi="Aptos"/>
                <w:b/>
                <w:color w:val="FFFFFF"/>
                <w:sz w:val="18"/>
              </w:rPr>
              <w:t>Role / Authority</w:t>
            </w:r>
          </w:p>
        </w:tc>
        <w:tc>
          <w:tcPr>
            <w:tcW w:type="dxa" w:w="5112"/>
            <w:vAlign w:val="center"/>
            <w:tcMar>
              <w:top w:w="80" w:type="dxa"/>
              <w:start w:w="100" w:type="dxa"/>
              <w:bottom w:w="80" w:type="dxa"/>
              <w:end w:w="100" w:type="dxa"/>
            </w:tcMar>
          </w:tcPr>
          <w:p>
            <w:r/>
            <w:r>
              <w:rPr>
                <w:rFonts w:ascii="Aptos" w:hAnsi="Aptos"/>
                <w:b w:val="0"/>
                <w:sz w:val="18"/>
              </w:rPr>
              <w:t>Founding Authority</w:t>
            </w:r>
          </w:p>
        </w:tc>
      </w:tr>
      <w:tr>
        <w:tc>
          <w:tcPr>
            <w:tcW w:type="dxa" w:w="5112"/>
            <w:vAlign w:val="center"/>
            <w:tcMar>
              <w:top w:w="80" w:type="dxa"/>
              <w:start w:w="100" w:type="dxa"/>
              <w:bottom w:w="80" w:type="dxa"/>
              <w:end w:w="100" w:type="dxa"/>
            </w:tcMar>
            <w:shd w:fill="17365D"/>
          </w:tcPr>
          <w:p>
            <w:r/>
            <w:r>
              <w:rPr>
                <w:rFonts w:ascii="Aptos" w:hAnsi="Aptos"/>
                <w:b/>
                <w:color w:val="FFFFFF"/>
                <w:sz w:val="18"/>
              </w:rPr>
              <w:t>Related Policy</w:t>
            </w:r>
          </w:p>
        </w:tc>
        <w:tc>
          <w:tcPr>
            <w:tcW w:type="dxa" w:w="5112"/>
            <w:vAlign w:val="center"/>
            <w:tcMar>
              <w:top w:w="80" w:type="dxa"/>
              <w:start w:w="100" w:type="dxa"/>
              <w:bottom w:w="80" w:type="dxa"/>
              <w:end w:w="100" w:type="dxa"/>
            </w:tcMar>
          </w:tcPr>
          <w:p>
            <w:r/>
            <w:r>
              <w:rPr>
                <w:rFonts w:ascii="Aptos" w:hAnsi="Aptos"/>
                <w:b w:val="0"/>
                <w:sz w:val="18"/>
              </w:rPr>
              <w:t>KEP-001 - Platform Scope, Boundaries, and Operating Model, Version 1.0</w:t>
            </w:r>
          </w:p>
        </w:tc>
      </w:tr>
      <w:tr>
        <w:tc>
          <w:tcPr>
            <w:tcW w:type="dxa" w:w="5112"/>
            <w:vAlign w:val="center"/>
            <w:tcMar>
              <w:top w:w="80" w:type="dxa"/>
              <w:start w:w="100" w:type="dxa"/>
              <w:bottom w:w="80" w:type="dxa"/>
              <w:end w:w="100" w:type="dxa"/>
            </w:tcMar>
            <w:shd w:fill="17365D"/>
          </w:tcPr>
          <w:p>
            <w:r/>
            <w:r>
              <w:rPr>
                <w:rFonts w:ascii="Aptos" w:hAnsi="Aptos"/>
                <w:b/>
                <w:color w:val="FFFFFF"/>
                <w:sz w:val="18"/>
              </w:rPr>
              <w:t>Effective Date</w:t>
            </w:r>
          </w:p>
        </w:tc>
        <w:tc>
          <w:tcPr>
            <w:tcW w:type="dxa" w:w="5112"/>
            <w:vAlign w:val="center"/>
            <w:tcMar>
              <w:top w:w="80" w:type="dxa"/>
              <w:start w:w="100" w:type="dxa"/>
              <w:bottom w:w="80" w:type="dxa"/>
              <w:end w:w="100" w:type="dxa"/>
            </w:tcMar>
          </w:tcPr>
          <w:p>
            <w:r/>
            <w:r>
              <w:rPr>
                <w:rFonts w:ascii="Aptos" w:hAnsi="Aptos"/>
                <w:b w:val="0"/>
                <w:sz w:val="18"/>
              </w:rPr>
              <w:t>July 16, 2026</w:t>
            </w:r>
          </w:p>
        </w:tc>
      </w:tr>
      <w:tr>
        <w:tc>
          <w:tcPr>
            <w:tcW w:type="dxa" w:w="5112"/>
            <w:vAlign w:val="center"/>
            <w:tcMar>
              <w:top w:w="80" w:type="dxa"/>
              <w:start w:w="100" w:type="dxa"/>
              <w:bottom w:w="80" w:type="dxa"/>
              <w:end w:w="100" w:type="dxa"/>
            </w:tcMar>
            <w:shd w:fill="17365D"/>
          </w:tcPr>
          <w:p>
            <w:r/>
            <w:r>
              <w:rPr>
                <w:rFonts w:ascii="Aptos" w:hAnsi="Aptos"/>
                <w:b/>
                <w:color w:val="FFFFFF"/>
                <w:sz w:val="18"/>
              </w:rPr>
              <w:t>Signature / Approved Record</w:t>
            </w:r>
          </w:p>
        </w:tc>
        <w:tc>
          <w:tcPr>
            <w:tcW w:type="dxa" w:w="5112"/>
            <w:vAlign w:val="center"/>
            <w:tcMar>
              <w:top w:w="80" w:type="dxa"/>
              <w:start w:w="100" w:type="dxa"/>
              <w:bottom w:w="80" w:type="dxa"/>
              <w:end w:w="100" w:type="dxa"/>
            </w:tcMar>
          </w:tcPr>
          <w:p>
            <w:r/>
            <w:r>
              <w:rPr>
                <w:rFonts w:ascii="Aptos" w:hAnsi="Aptos"/>
                <w:b w:val="0"/>
                <w:sz w:val="18"/>
              </w:rPr>
              <w:t>Kashif Muhammad Younus — digitally approved</w:t>
            </w:r>
          </w:p>
        </w:tc>
      </w:tr>
      <w:tr>
        <w:tc>
          <w:tcPr>
            <w:tcW w:type="dxa" w:w="5112"/>
            <w:vAlign w:val="center"/>
            <w:tcMar>
              <w:top w:w="80" w:type="dxa"/>
              <w:start w:w="100" w:type="dxa"/>
              <w:bottom w:w="80" w:type="dxa"/>
              <w:end w:w="100" w:type="dxa"/>
            </w:tcMar>
            <w:shd w:fill="17365D"/>
          </w:tcPr>
          <w:p>
            <w:r/>
            <w:r>
              <w:rPr>
                <w:rFonts w:ascii="Aptos" w:hAnsi="Aptos"/>
                <w:b/>
                <w:color w:val="FFFFFF"/>
                <w:sz w:val="18"/>
              </w:rPr>
              <w:t>Approval Statement</w:t>
            </w:r>
          </w:p>
        </w:tc>
        <w:tc>
          <w:tcPr>
            <w:tcW w:type="dxa" w:w="5112"/>
            <w:vAlign w:val="center"/>
            <w:tcMar>
              <w:top w:w="80" w:type="dxa"/>
              <w:start w:w="100" w:type="dxa"/>
              <w:bottom w:w="80" w:type="dxa"/>
              <w:end w:w="100" w:type="dxa"/>
            </w:tcMar>
          </w:tcPr>
          <w:p>
            <w:r/>
            <w:r>
              <w:rPr>
                <w:rFonts w:ascii="Aptos" w:hAnsi="Aptos"/>
                <w:b w:val="0"/>
                <w:sz w:val="18"/>
              </w:rPr>
              <w:t>I ratify KEP-001 and KEP-001A within the authority and boundaries established by KEP-000.</w:t>
            </w:r>
          </w:p>
        </w:tc>
      </w:tr>
    </w:tbl>
    <w:p>
      <w:pPr>
        <w:pStyle w:val="Heading1"/>
      </w:pPr>
      <w:r>
        <w:t>9. Revision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80" w:type="dxa"/>
              <w:start w:w="100" w:type="dxa"/>
              <w:bottom w:w="80" w:type="dxa"/>
              <w:end w:w="100" w:type="dxa"/>
            </w:tcMar>
            <w:shd w:fill="17365D"/>
          </w:tcPr>
          <w:p>
            <w:r/>
            <w:r>
              <w:rPr>
                <w:rFonts w:ascii="Aptos" w:hAnsi="Aptos"/>
                <w:b/>
                <w:color w:val="FFFFFF"/>
                <w:sz w:val="18"/>
              </w:rPr>
              <w:t>Version</w:t>
            </w:r>
          </w:p>
        </w:tc>
        <w:tc>
          <w:tcPr>
            <w:tcW w:type="dxa" w:w="2556"/>
            <w:vAlign w:val="center"/>
            <w:tcMar>
              <w:top w:w="80" w:type="dxa"/>
              <w:start w:w="100" w:type="dxa"/>
              <w:bottom w:w="80" w:type="dxa"/>
              <w:end w:w="100" w:type="dxa"/>
            </w:tcMar>
            <w:shd w:fill="17365D"/>
          </w:tcPr>
          <w:p>
            <w:r/>
            <w:r>
              <w:rPr>
                <w:rFonts w:ascii="Aptos" w:hAnsi="Aptos"/>
                <w:b/>
                <w:color w:val="FFFFFF"/>
                <w:sz w:val="18"/>
              </w:rPr>
              <w:t>Date</w:t>
            </w:r>
          </w:p>
        </w:tc>
        <w:tc>
          <w:tcPr>
            <w:tcW w:type="dxa" w:w="2556"/>
            <w:vAlign w:val="center"/>
            <w:tcMar>
              <w:top w:w="80" w:type="dxa"/>
              <w:start w:w="100" w:type="dxa"/>
              <w:bottom w:w="80" w:type="dxa"/>
              <w:end w:w="100" w:type="dxa"/>
            </w:tcMar>
            <w:shd w:fill="17365D"/>
          </w:tcPr>
          <w:p>
            <w:r/>
            <w:r>
              <w:rPr>
                <w:rFonts w:ascii="Aptos" w:hAnsi="Aptos"/>
                <w:b/>
                <w:color w:val="FFFFFF"/>
                <w:sz w:val="18"/>
              </w:rPr>
              <w:t>Status</w:t>
            </w:r>
          </w:p>
        </w:tc>
        <w:tc>
          <w:tcPr>
            <w:tcW w:type="dxa" w:w="2556"/>
            <w:vAlign w:val="center"/>
            <w:tcMar>
              <w:top w:w="80" w:type="dxa"/>
              <w:start w:w="100" w:type="dxa"/>
              <w:bottom w:w="80" w:type="dxa"/>
              <w:end w:w="100" w:type="dxa"/>
            </w:tcMar>
            <w:shd w:fill="17365D"/>
          </w:tcPr>
          <w:p>
            <w:r/>
            <w:r>
              <w:rPr>
                <w:rFonts w:ascii="Aptos" w:hAnsi="Aptos"/>
                <w:b/>
                <w:color w:val="FFFFFF"/>
                <w:sz w:val="18"/>
              </w:rPr>
              <w:t>Summary</w:t>
            </w:r>
          </w:p>
        </w:tc>
      </w:tr>
      <w:tr>
        <w:tc>
          <w:tcPr>
            <w:tcW w:type="dxa" w:w="2556"/>
            <w:vAlign w:val="center"/>
            <w:tcMar>
              <w:top w:w="80" w:type="dxa"/>
              <w:start w:w="100" w:type="dxa"/>
              <w:bottom w:w="80" w:type="dxa"/>
              <w:end w:w="100" w:type="dxa"/>
            </w:tcMar>
          </w:tcPr>
          <w:p>
            <w:r/>
            <w:r>
              <w:rPr>
                <w:rFonts w:ascii="Aptos" w:hAnsi="Aptos"/>
                <w:b w:val="0"/>
                <w:sz w:val="17"/>
              </w:rPr>
              <w:t>1.0</w:t>
            </w:r>
          </w:p>
        </w:tc>
        <w:tc>
          <w:tcPr>
            <w:tcW w:type="dxa" w:w="2556"/>
            <w:vAlign w:val="center"/>
            <w:tcMar>
              <w:top w:w="80" w:type="dxa"/>
              <w:start w:w="100" w:type="dxa"/>
              <w:bottom w:w="80" w:type="dxa"/>
              <w:end w:w="100" w:type="dxa"/>
            </w:tcMar>
          </w:tcPr>
          <w:p>
            <w:r/>
            <w:r>
              <w:rPr>
                <w:rFonts w:ascii="Aptos" w:hAnsi="Aptos"/>
                <w:b w:val="0"/>
                <w:sz w:val="17"/>
              </w:rPr>
              <w:t>July 16, 2026</w:t>
            </w:r>
          </w:p>
        </w:tc>
        <w:tc>
          <w:tcPr>
            <w:tcW w:type="dxa" w:w="2556"/>
            <w:vAlign w:val="center"/>
            <w:tcMar>
              <w:top w:w="80" w:type="dxa"/>
              <w:start w:w="100" w:type="dxa"/>
              <w:bottom w:w="80" w:type="dxa"/>
              <w:end w:w="100" w:type="dxa"/>
            </w:tcMar>
          </w:tcPr>
          <w:p>
            <w:r/>
            <w:r>
              <w:rPr>
                <w:rFonts w:ascii="Aptos" w:hAnsi="Aptos"/>
                <w:b w:val="0"/>
                <w:sz w:val="17"/>
              </w:rPr>
              <w:t>Ratified</w:t>
            </w:r>
          </w:p>
        </w:tc>
        <w:tc>
          <w:tcPr>
            <w:tcW w:type="dxa" w:w="2556"/>
            <w:vAlign w:val="center"/>
            <w:tcMar>
              <w:top w:w="80" w:type="dxa"/>
              <w:start w:w="100" w:type="dxa"/>
              <w:bottom w:w="80" w:type="dxa"/>
              <w:end w:w="100" w:type="dxa"/>
            </w:tcMar>
          </w:tcPr>
          <w:p>
            <w:r/>
            <w:r>
              <w:rPr>
                <w:rFonts w:ascii="Aptos" w:hAnsi="Aptos"/>
                <w:b w:val="0"/>
                <w:sz w:val="17"/>
              </w:rPr>
              <w:t>Initial formalization of founding assignments, resolved decisions UD-001 through UD-007 and UD-016, deferred decisions UD-008 through UD-015, and the KEP-001 ratification record. Replaces working identifier KEP-001-DR-001.</w:t>
            </w:r>
          </w:p>
        </w:tc>
      </w:tr>
    </w:tbl>
    <w:p>
      <w:pPr>
        <w:pStyle w:val="Heading2"/>
      </w:pPr>
      <w:r>
        <w:t>Founding Statement</w:t>
      </w:r>
    </w:p>
    <w:p>
      <w:pPr>
        <w:jc w:val="center"/>
      </w:pPr>
      <w:r>
        <w:rPr>
          <w:b/>
          <w:i/>
          <w:color w:val="17365D"/>
          <w:sz w:val="22"/>
        </w:rPr>
        <w:t>KEP begins with explicit authority, bounded decisions, visible uncertainty, and accountable ratification.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Kuriosity Engineering Platform |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KEP-001A | Founding Decisions and Ratification Record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KEP-001A - Founding Decisions and Ratification Record</dc:title>
  <dc:subject>Kuriosity Engineering Platform founding decisions and ratification record</dc:subject>
  <dc:creator>Kuriosity Engineering Platform</dc:creator>
  <cp:keywords>KEP, governance, founding decisions, ratification</cp:keywords>
  <dc:description>generated by python-docx</dc:description>
  <cp:lastModifiedBy/>
  <cp:revision>1</cp:revision>
  <dcterms:created xsi:type="dcterms:W3CDTF">2013-12-23T23:15:00Z</dcterms:created>
  <dcterms:modified xsi:type="dcterms:W3CDTF">2013-12-23T23:15:00Z</dcterms:modified>
  <cp:category/>
</cp:coreProperties>
</file>