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编程过程记录</w:t>
      </w:r>
    </w:p>
    <w:bookmarkEnd w:id="0"/>
    <w:bookmarkStart w:name="wheX2" w:id="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excel工作簿分离</w:t>
      </w:r>
    </w:p>
    <w:bookmarkEnd w:id="1"/>
    <w:bookmarkStart w:name="u2bf2bcfd" w:id="2"/>
    <w:p>
      <w:pPr>
        <w:spacing w:after="50" w:line="360" w:lineRule="auto" w:beforeLines="100"/>
        <w:ind w:left="0"/>
        <w:jc w:val="left"/>
      </w:pPr>
      <w:bookmarkStart w:name="ua4bac9b5" w:id="3"/>
      <w:r>
        <w:rPr>
          <w:rFonts w:eastAsia="宋体" w:ascii="宋体"/>
        </w:rPr>
        <w:drawing>
          <wp:inline distT="0" distB="0" distL="0" distR="0">
            <wp:extent cx="5384800" cy="4468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bookmarkEnd w:id="2"/>
    <w:bookmarkStart w:name="u541d26a8" w:id="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附件1划分为乡村的现有耕地.csv，乡村种植的农作物.csv</w:t>
      </w:r>
    </w:p>
    <w:bookmarkEnd w:id="4"/>
    <w:bookmarkStart w:name="uf2b239a9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附件2划分为2023年的农作物种植情况.csv,2023年统计的相关数据.csv</w:t>
      </w:r>
    </w:p>
    <w:bookmarkEnd w:id="5"/>
    <w:bookmarkStart w:name="SNNcN" w:id="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取消合并单元格</w:t>
      </w:r>
    </w:p>
    <w:bookmarkEnd w:id="6"/>
    <w:bookmarkStart w:name="u9c3c12b8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为了方便转换成csv文件，需要取消单元格合并</w:t>
      </w:r>
    </w:p>
    <w:bookmarkEnd w:id="7"/>
    <w:bookmarkStart w:name="ufe41c75b" w:id="8"/>
    <w:p>
      <w:pPr>
        <w:spacing w:after="50" w:line="360" w:lineRule="auto" w:beforeLines="100"/>
        <w:ind w:left="0"/>
        <w:jc w:val="left"/>
      </w:pPr>
      <w:bookmarkStart w:name="uf54f08a3" w:id="9"/>
      <w:r>
        <w:rPr>
          <w:rFonts w:eastAsia="宋体" w:ascii="宋体"/>
        </w:rPr>
        <w:drawing>
          <wp:inline distT="0" distB="0" distL="0" distR="0">
            <wp:extent cx="2743200" cy="43890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bookmarkEnd w:id="8"/>
    <w:bookmarkStart w:name="ua4e781aa" w:id="10"/>
    <w:p>
      <w:pPr>
        <w:spacing w:after="50" w:line="360" w:lineRule="auto" w:beforeLines="100"/>
        <w:ind w:left="0"/>
        <w:jc w:val="left"/>
      </w:pPr>
      <w:bookmarkStart w:name="uOGkX" w:id="11"/>
      <w:r>
        <w:rPr>
          <w:rFonts w:eastAsia="宋体" w:ascii="宋体"/>
        </w:rPr>
        <w:drawing>
          <wp:inline distT="0" distB="0" distL="0" distR="0">
            <wp:extent cx="5164667" cy="38471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4667" cy="38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bookmarkEnd w:id="10"/>
    <w:bookmarkStart w:name="qwnak" w:id="1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合并表</w:t>
      </w:r>
    </w:p>
    <w:bookmarkEnd w:id="12"/>
    <w:bookmarkStart w:name="u831b0c6d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这两张表的地块名称与种植地块的内容相对应，因此可以进行合并</w:t>
      </w:r>
    </w:p>
    <w:bookmarkEnd w:id="13"/>
    <w:bookmarkStart w:name="u6559813d" w:id="14"/>
    <w:p>
      <w:pPr>
        <w:spacing w:after="50" w:line="360" w:lineRule="auto" w:beforeLines="100"/>
        <w:ind w:left="0"/>
        <w:jc w:val="left"/>
      </w:pPr>
      <w:bookmarkStart w:name="HUtBA" w:id="15"/>
      <w:r>
        <w:rPr>
          <w:rFonts w:eastAsia="宋体" w:ascii="宋体"/>
        </w:rPr>
        <w:drawing>
          <wp:inline distT="0" distB="0" distL="0" distR="0">
            <wp:extent cx="5841999" cy="276287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0934" cy="31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bookmarkEnd w:id="14"/>
    <w:bookmarkStart w:name="u96c534f6" w:id="16"/>
    <w:bookmarkEnd w:id="16"/>
    <w:bookmarkStart w:name="uee6b1c49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合并结果为</w:t>
      </w:r>
    </w:p>
    <w:bookmarkEnd w:id="17"/>
    <w:bookmarkStart w:name="u09265883" w:id="18"/>
    <w:p>
      <w:pPr>
        <w:spacing w:after="50" w:line="360" w:lineRule="auto" w:beforeLines="100"/>
        <w:ind w:left="0"/>
        <w:jc w:val="left"/>
      </w:pPr>
      <w:bookmarkStart w:name="L3QZo" w:id="19"/>
      <w:r>
        <w:rPr>
          <w:rFonts w:eastAsia="宋体" w:ascii="宋体"/>
        </w:rPr>
        <w:drawing>
          <wp:inline distT="0" distB="0" distL="0" distR="0">
            <wp:extent cx="4842933" cy="355402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2933" cy="35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bookmarkEnd w:id="18"/>
    <w:bookmarkStart w:name="u8b57cba7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18"/>
        </w:rPr>
        <w:t>一个作物会对应多个亩产量</w:t>
      </w:r>
    </w:p>
    <w:bookmarkEnd w:id="20"/>
    <w:bookmarkStart w:name="ufc5da6eb" w:id="21"/>
    <w:p>
      <w:pPr>
        <w:spacing w:after="50" w:line="360" w:lineRule="auto" w:beforeLines="100"/>
        <w:ind w:left="0"/>
        <w:jc w:val="left"/>
      </w:pPr>
      <w:bookmarkStart w:name="xFjbM" w:id="22"/>
      <w:r>
        <w:rPr>
          <w:rFonts w:eastAsia="宋体" w:ascii="宋体"/>
        </w:rPr>
        <w:drawing>
          <wp:inline distT="0" distB="0" distL="0" distR="0">
            <wp:extent cx="5740400" cy="8150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bookmarkEnd w:id="21"/>
    <w:bookmarkStart w:name="ub4c05f7e" w:id="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因此，各作物的亩产量采取均值记录</w:t>
      </w:r>
    </w:p>
    <w:bookmarkEnd w:id="23"/>
    <w:bookmarkStart w:name="u2fe55cad" w:id="24"/>
    <w:p>
      <w:pPr>
        <w:spacing w:after="50" w:line="360" w:lineRule="auto" w:beforeLines="100"/>
        <w:ind w:left="0"/>
        <w:jc w:val="left"/>
      </w:pPr>
      <w:bookmarkStart w:name="g0Z73" w:id="25"/>
      <w:r>
        <w:rPr>
          <w:rFonts w:eastAsia="宋体" w:ascii="宋体"/>
        </w:rPr>
        <w:drawing>
          <wp:inline distT="0" distB="0" distL="0" distR="0">
            <wp:extent cx="5841999" cy="125598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8266" cy="15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bookmarkEnd w:id="24"/>
    <w:bookmarkStart w:name="zkAd1" w:id="2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数据预处理</w:t>
      </w:r>
    </w:p>
    <w:bookmarkEnd w:id="26"/>
    <w:bookmarkStart w:name="XKWaq" w:id="2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缺失值处理</w:t>
      </w:r>
    </w:p>
    <w:bookmarkEnd w:id="27"/>
    <w:bookmarkStart w:name="u8ac3fe6e" w:id="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通过观察附件中2023的种植情况与统计数据发现，文件中不存在缺失值，因此不需要进行缺失值处理，下一步是异常值处理</w:t>
      </w:r>
    </w:p>
    <w:bookmarkEnd w:id="28"/>
    <w:bookmarkStart w:name="ylKJ5" w:id="29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异常值处理</w:t>
      </w:r>
    </w:p>
    <w:bookmarkEnd w:id="29"/>
    <w:bookmarkStart w:name="u93a0dd66" w:id="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07070"/>
          <w:sz w:val="18"/>
        </w:rPr>
        <w:t>使用3∂异常识别方法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对于附件中的数据进行排查分析发现，2023年统计的相关数组中存在四个异常值，异常的数据如下, 分别是黄瓜，白灵菇，羊肚菌，黄瓜</w:t>
      </w:r>
    </w:p>
    <w:bookmarkEnd w:id="30"/>
    <w:bookmarkStart w:name="u1a2c0f07" w:id="31"/>
    <w:p>
      <w:pPr>
        <w:spacing w:after="50" w:line="360" w:lineRule="auto" w:beforeLines="100"/>
        <w:ind w:left="0"/>
        <w:jc w:val="left"/>
      </w:pPr>
      <w:bookmarkStart w:name="q8DBG" w:id="32"/>
      <w:r>
        <w:rPr>
          <w:rFonts w:eastAsia="宋体" w:ascii="宋体"/>
        </w:rPr>
        <w:drawing>
          <wp:inline distT="0" distB="0" distL="0" distR="0">
            <wp:extent cx="5842000" cy="71271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7066" cy="80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bookmarkEnd w:id="31"/>
    <w:bookmarkStart w:name="ufd6c3cbe" w:id="33"/>
    <w:p>
      <w:pPr>
        <w:spacing w:after="50" w:line="360" w:lineRule="auto" w:beforeLines="100"/>
        <w:ind w:left="0"/>
        <w:jc w:val="left"/>
      </w:pPr>
      <w:bookmarkStart w:name="xwIgO" w:id="34"/>
      <w:r>
        <w:rPr>
          <w:rFonts w:eastAsia="宋体" w:ascii="宋体"/>
        </w:rPr>
        <w:drawing>
          <wp:inline distT="0" distB="0" distL="0" distR="0">
            <wp:extent cx="5842000" cy="8178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bookmarkEnd w:id="33"/>
    <w:bookmarkStart w:name="uab498bb7" w:id="35"/>
    <w:p>
      <w:pPr>
        <w:spacing w:after="50" w:line="360" w:lineRule="auto" w:beforeLines="100"/>
        <w:ind w:left="0"/>
        <w:jc w:val="left"/>
      </w:pPr>
      <w:bookmarkStart w:name="VyUCA" w:id="36"/>
      <w:r>
        <w:rPr>
          <w:rFonts w:eastAsia="宋体" w:ascii="宋体"/>
        </w:rPr>
        <w:drawing>
          <wp:inline distT="0" distB="0" distL="0" distR="0">
            <wp:extent cx="5841999" cy="21613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8534" cy="23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bookmarkEnd w:id="35"/>
    <w:bookmarkStart w:name="uf349b802" w:id="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对异常数据进行置空处理 </w:t>
      </w:r>
    </w:p>
    <w:bookmarkEnd w:id="37"/>
    <w:bookmarkStart w:name="u7138af26" w:id="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处理完异常值后对数据进行正态性检验，结果如下</w:t>
      </w:r>
      <w:r>
        <w:rPr>
          <w:rFonts w:ascii="宋体" w:hAnsi="Times New Roman" w:eastAsia="宋体"/>
          <w:b/>
          <w:i w:val="false"/>
          <w:color w:val="2b323d"/>
          <w:sz w:val="21"/>
        </w:rPr>
        <w:t>输出结果3：正态性检验P-P图</w:t>
      </w:r>
    </w:p>
    <w:bookmarkEnd w:id="38"/>
    <w:bookmarkStart w:name="ucb431712" w:id="39"/>
    <w:bookmarkEnd w:id="39"/>
    <w:bookmarkStart w:name="u117ee555" w:id="40"/>
    <w:bookmarkEnd w:id="40"/>
    <w:bookmarkStart w:name="u30138750" w:id="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6a6f77"/>
          <w:sz w:val="21"/>
        </w:rPr>
        <w:t>亩产量/斤</w:t>
      </w:r>
    </w:p>
    <w:bookmarkEnd w:id="41"/>
    <w:bookmarkStart w:name="u4e121a7e" w:id="42"/>
    <w:p>
      <w:pPr>
        <w:spacing w:after="50" w:line="360" w:lineRule="auto" w:beforeLines="100"/>
        <w:ind w:left="0"/>
        <w:jc w:val="left"/>
      </w:pPr>
      <w:bookmarkStart w:name="CDTbc" w:id="43"/>
      <w:r>
        <w:rPr>
          <w:rFonts w:eastAsia="宋体" w:ascii="宋体"/>
        </w:rPr>
        <w:drawing>
          <wp:inline distT="0" distB="0" distL="0" distR="0">
            <wp:extent cx="5842000" cy="409931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87734" cy="53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bookmarkEnd w:id="42"/>
    <w:bookmarkStart w:name="u27ea52cd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2b323d"/>
          <w:sz w:val="21"/>
        </w:rPr>
        <w:t>图表说明：</w:t>
      </w:r>
      <w:r>
        <w:rPr>
          <w:rFonts w:ascii="宋体" w:hAnsi="Times New Roman" w:eastAsia="宋体"/>
          <w:b w:val="false"/>
          <w:i w:val="false"/>
          <w:color w:val="6a6f77"/>
          <w:sz w:val="21"/>
        </w:rPr>
        <w:t>上图是亩产量/斤计算观测的累计概率（P）与正态累计概率（P）的拟合情况。拟合程度越高越服从正态分布。</w:t>
      </w:r>
      <w:r>
        <w:rPr>
          <w:rFonts w:ascii="宋体" w:hAnsi="Times New Roman" w:eastAsia="宋体"/>
          <w:b w:val="false"/>
          <w:i w:val="false"/>
          <w:color w:val="6a6f77"/>
          <w:sz w:val="21"/>
        </w:rPr>
        <w:t>● 图示最大仅显示1000个样本量信息，若样本量大于1000，则在全样本中进行随机抽样，选取其中1000样本进行绘制。</w:t>
      </w:r>
    </w:p>
    <w:bookmarkEnd w:id="44"/>
    <w:bookmarkStart w:name="u3421b14c" w:id="45"/>
    <w:bookmarkEnd w:id="45"/>
    <w:bookmarkStart w:name="ue1c5e73a" w:id="46"/>
    <w:bookmarkEnd w:id="46"/>
    <w:bookmarkStart w:name="u516a492d" w:id="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6a6f77"/>
          <w:sz w:val="21"/>
        </w:rPr>
        <w:t>种植成本/(元/亩)</w:t>
      </w:r>
    </w:p>
    <w:bookmarkEnd w:id="47"/>
    <w:bookmarkStart w:name="ua1fd36cc" w:id="48"/>
    <w:p>
      <w:pPr>
        <w:spacing w:after="50" w:line="360" w:lineRule="auto" w:beforeLines="100"/>
        <w:ind w:left="0"/>
        <w:jc w:val="left"/>
      </w:pPr>
      <w:bookmarkStart w:name="GicBP" w:id="49"/>
      <w:r>
        <w:rPr>
          <w:rFonts w:eastAsia="宋体" w:ascii="宋体"/>
        </w:rPr>
        <w:drawing>
          <wp:inline distT="0" distB="0" distL="0" distR="0">
            <wp:extent cx="5842000" cy="409931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7734" cy="53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bookmarkEnd w:id="48"/>
    <w:bookmarkStart w:name="u2ec8cf04" w:id="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2b323d"/>
          <w:sz w:val="21"/>
        </w:rPr>
        <w:t>图表说明：</w:t>
      </w:r>
      <w:r>
        <w:rPr>
          <w:rFonts w:ascii="宋体" w:hAnsi="Times New Roman" w:eastAsia="宋体"/>
          <w:b w:val="false"/>
          <w:i w:val="false"/>
          <w:color w:val="6a6f77"/>
          <w:sz w:val="21"/>
        </w:rPr>
        <w:t>上图是种植成本/(元/亩)计算观测的累计概率（P）与正态累计概率（P）的拟合情况。拟合程度越高越服从正态分布。</w:t>
      </w:r>
      <w:r>
        <w:rPr>
          <w:rFonts w:ascii="宋体" w:hAnsi="Times New Roman" w:eastAsia="宋体"/>
          <w:b w:val="false"/>
          <w:i w:val="false"/>
          <w:color w:val="6a6f77"/>
          <w:sz w:val="21"/>
        </w:rPr>
        <w:t>● 图示最大仅显示1000个样本量信息，若样本量大于1000，则在全样本中进行随机抽样，选取其中1000样本进行绘制。</w:t>
      </w:r>
    </w:p>
    <w:bookmarkEnd w:id="50"/>
    <w:bookmarkStart w:name="u385aab99" w:id="51"/>
    <w:bookmarkEnd w:id="51"/>
    <w:bookmarkStart w:name="fzCI6" w:id="5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6a6f77"/>
        </w:rPr>
        <w:t>数据可视化</w:t>
      </w:r>
    </w:p>
    <w:bookmarkEnd w:id="52"/>
    <w:bookmarkStart w:name="u16291851" w:id="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6a6f77"/>
          <w:sz w:val="21"/>
        </w:rPr>
        <w:t>亩产量/斤箱型图</w:t>
      </w:r>
    </w:p>
    <w:bookmarkEnd w:id="53"/>
    <w:bookmarkStart w:name="u498758a4" w:id="54"/>
    <w:p>
      <w:pPr>
        <w:spacing w:after="50" w:line="360" w:lineRule="auto" w:beforeLines="100"/>
        <w:ind w:left="0"/>
        <w:jc w:val="left"/>
      </w:pPr>
      <w:bookmarkStart w:name="u3a2583ff" w:id="55"/>
      <w:r>
        <w:rPr>
          <w:rFonts w:eastAsia="宋体" w:ascii="宋体"/>
        </w:rPr>
        <w:drawing>
          <wp:inline distT="0" distB="0" distL="0" distR="0">
            <wp:extent cx="5842000" cy="442120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8934" cy="53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bookmarkEnd w:id="54"/>
    <w:bookmarkStart w:name="ue7cea296" w:id="56"/>
    <w:bookmarkEnd w:id="56"/>
    <w:bookmarkStart w:name="u52a60769" w:id="57"/>
    <w:p>
      <w:pPr>
        <w:spacing w:after="50" w:line="360" w:lineRule="auto" w:beforeLines="100"/>
        <w:ind w:left="0"/>
        <w:jc w:val="left"/>
      </w:pPr>
      <w:bookmarkStart w:name="u8d1bd7a3" w:id="58"/>
      <w:r>
        <w:rPr>
          <w:rFonts w:eastAsia="宋体" w:ascii="宋体"/>
        </w:rPr>
        <w:drawing>
          <wp:inline distT="0" distB="0" distL="0" distR="0">
            <wp:extent cx="5842000" cy="442120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28934" cy="53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bookmarkEnd w:id="57"/>
    <w:bookmarkStart w:name="ua1d3ad02" w:id="59"/>
    <w:bookmarkEnd w:id="59"/>
    <w:bookmarkStart w:name="u6871da7f" w:id="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2b323d"/>
          <w:sz w:val="21"/>
        </w:rPr>
        <w:t>图表说明：</w:t>
      </w:r>
      <w:r>
        <w:rPr>
          <w:rFonts w:ascii="宋体" w:hAnsi="Times New Roman" w:eastAsia="宋体"/>
          <w:b w:val="false"/>
          <w:i w:val="false"/>
          <w:color w:val="6a6f77"/>
          <w:sz w:val="21"/>
        </w:rPr>
        <w:t>上图以箱线图的形式展示了亩产量/斤、种植成本/(元/亩)频数分析离散趋势分析的结果，离散趋势用极大值、极小值、25%分位数、中位数、75%分位数等统计指标对数据分布进行差异（稳定性）测量。 PS:极大值、极小值并非该数据的最大值、最小值，该值为箱线图的内限，即大于极大值或小于极小值的点视为异常点。</w:t>
      </w:r>
    </w:p>
    <w:bookmarkEnd w:id="60"/>
    <w:bookmarkStart w:name="u22ec84d7" w:id="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6a6f77"/>
          <w:sz w:val="21"/>
        </w:rPr>
        <w:t>种植面积饼图</w:t>
      </w:r>
      <w:bookmarkStart w:name="uf21ac9e0" w:id="62"/>
      <w:r>
        <w:rPr>
          <w:rFonts w:eastAsia="宋体" w:ascii="宋体"/>
        </w:rPr>
        <w:drawing>
          <wp:inline distT="0" distB="0" distL="0" distR="0">
            <wp:extent cx="5842000" cy="339409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0" cy="73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bookmarkEnd w:id="61"/>
    <w:bookmarkStart w:name="u9fe39d37" w:id="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作物类型柱状图</w:t>
      </w:r>
    </w:p>
    <w:bookmarkEnd w:id="63"/>
    <w:bookmarkStart w:name="uac29ab60" w:id="64"/>
    <w:p>
      <w:pPr>
        <w:spacing w:after="50" w:line="360" w:lineRule="auto" w:beforeLines="100"/>
        <w:ind w:left="0"/>
        <w:jc w:val="left"/>
      </w:pPr>
      <w:bookmarkStart w:name="ua03d1306" w:id="65"/>
      <w:r>
        <w:rPr>
          <w:rFonts w:eastAsia="宋体" w:ascii="宋体"/>
        </w:rPr>
        <w:drawing>
          <wp:inline distT="0" distB="0" distL="0" distR="0">
            <wp:extent cx="5842000" cy="339409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0" cy="73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bookmarkEnd w:id="64"/>
    <w:bookmarkStart w:name="u96d24d0c" w:id="66"/>
    <w:p>
      <w:pPr>
        <w:spacing w:after="50" w:line="360" w:lineRule="auto" w:beforeLines="100"/>
        <w:ind w:left="0"/>
        <w:jc w:val="left"/>
      </w:pPr>
      <w:bookmarkStart w:name="uea350bfb" w:id="67"/>
      <w:r>
        <w:rPr>
          <w:rFonts w:eastAsia="宋体" w:ascii="宋体"/>
        </w:rPr>
        <w:drawing>
          <wp:inline distT="0" distB="0" distL="0" distR="0">
            <wp:extent cx="5842000" cy="324206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1466" cy="34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bookmarkEnd w:id="66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