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B83" w14:textId="619A963C" w:rsidR="00F92A00" w:rsidRDefault="004A282F" w:rsidP="004A282F">
      <w:pPr>
        <w:jc w:val="center"/>
        <w:rPr>
          <w:rFonts w:ascii="Times New Roman" w:hAnsi="Times New Roman" w:cs="Times New Roman"/>
          <w:b/>
          <w:sz w:val="28"/>
          <w:szCs w:val="28"/>
        </w:rPr>
      </w:pPr>
      <w:r w:rsidRPr="004A282F">
        <w:rPr>
          <w:rFonts w:ascii="Times New Roman" w:hAnsi="Times New Roman" w:cs="Times New Roman"/>
          <w:b/>
          <w:sz w:val="28"/>
          <w:szCs w:val="28"/>
        </w:rPr>
        <w:t>Basel III Regulations in the U.S.</w:t>
      </w:r>
    </w:p>
    <w:p w14:paraId="7F8A3FF7" w14:textId="77777777" w:rsidR="004A282F" w:rsidRPr="004A282F" w:rsidRDefault="004A282F" w:rsidP="004A282F">
      <w:pPr>
        <w:spacing w:before="100" w:beforeAutospacing="1" w:after="100" w:afterAutospacing="1" w:line="240" w:lineRule="auto"/>
        <w:outlineLvl w:val="3"/>
        <w:rPr>
          <w:rFonts w:ascii="Times New Roman" w:eastAsia="Times New Roman" w:hAnsi="Times New Roman" w:cs="Times New Roman"/>
          <w:b/>
          <w:bCs/>
          <w:sz w:val="24"/>
          <w:szCs w:val="24"/>
        </w:rPr>
      </w:pPr>
      <w:r w:rsidRPr="004A282F">
        <w:rPr>
          <w:rFonts w:ascii="Times New Roman" w:eastAsia="Times New Roman" w:hAnsi="Times New Roman" w:cs="Times New Roman"/>
          <w:b/>
          <w:bCs/>
          <w:sz w:val="24"/>
          <w:szCs w:val="24"/>
        </w:rPr>
        <w:t>Overview</w:t>
      </w:r>
    </w:p>
    <w:p w14:paraId="75C4F53E" w14:textId="77777777" w:rsidR="004A282F" w:rsidRPr="004A282F" w:rsidRDefault="004A282F" w:rsidP="004A282F">
      <w:pPr>
        <w:spacing w:before="100" w:beforeAutospacing="1" w:after="100" w:afterAutospacing="1" w:line="240" w:lineRule="auto"/>
        <w:rPr>
          <w:rFonts w:ascii="Times New Roman" w:eastAsia="Times New Roman" w:hAnsi="Times New Roman" w:cs="Times New Roman"/>
          <w:sz w:val="24"/>
          <w:szCs w:val="24"/>
        </w:rPr>
      </w:pPr>
      <w:r w:rsidRPr="004A282F">
        <w:rPr>
          <w:rFonts w:ascii="Times New Roman" w:eastAsia="Times New Roman" w:hAnsi="Times New Roman" w:cs="Times New Roman"/>
          <w:sz w:val="24"/>
          <w:szCs w:val="24"/>
        </w:rPr>
        <w:t>Basel III is an international regulatory framework designed to strengthen regulation, supervision, and risk management within the banking sector. Implemented by the Basel Committee on Banking Supervision (BCBS), Basel III aims to improve the banking sector's ability to deal with financial stress, enhance risk management, and promote transparency.</w:t>
      </w:r>
    </w:p>
    <w:p w14:paraId="4CF0E586" w14:textId="77777777" w:rsidR="004A282F" w:rsidRPr="004A282F" w:rsidRDefault="004A282F" w:rsidP="004A282F">
      <w:pPr>
        <w:pStyle w:val="Heading4"/>
        <w:jc w:val="both"/>
      </w:pPr>
      <w:r w:rsidRPr="004A282F">
        <w:rPr>
          <w:b w:val="0"/>
        </w:rPr>
        <w:t xml:space="preserve"> </w:t>
      </w:r>
      <w:r w:rsidRPr="004A282F">
        <w:t>Implementation in the U.S.</w:t>
      </w:r>
    </w:p>
    <w:p w14:paraId="50A21268" w14:textId="77777777" w:rsidR="004A282F" w:rsidRPr="004A282F" w:rsidRDefault="004A282F" w:rsidP="004A282F">
      <w:pPr>
        <w:pStyle w:val="NormalWeb"/>
        <w:jc w:val="both"/>
      </w:pPr>
      <w:r w:rsidRPr="004A282F">
        <w:t>In the United States, the implementation of Basel III regulations is overseen by several regulatory bodies, including the Federal Reserve, the Office of the Comptroller of the Currency (OCC), and the Federal Deposit Insurance Corporation (FDIC).</w:t>
      </w:r>
    </w:p>
    <w:p w14:paraId="74A8F99E" w14:textId="77777777" w:rsidR="004A282F" w:rsidRPr="004A282F" w:rsidRDefault="004A282F" w:rsidP="004A282F">
      <w:pPr>
        <w:pStyle w:val="Heading5"/>
        <w:jc w:val="both"/>
        <w:rPr>
          <w:rFonts w:ascii="Times New Roman" w:hAnsi="Times New Roman" w:cs="Times New Roman"/>
          <w:b/>
          <w:color w:val="auto"/>
          <w:sz w:val="24"/>
          <w:szCs w:val="24"/>
        </w:rPr>
      </w:pPr>
      <w:r w:rsidRPr="004A282F">
        <w:rPr>
          <w:rFonts w:ascii="Times New Roman" w:hAnsi="Times New Roman" w:cs="Times New Roman"/>
          <w:b/>
          <w:color w:val="auto"/>
          <w:sz w:val="24"/>
          <w:szCs w:val="24"/>
        </w:rPr>
        <w:t>Key Dates and Phases</w:t>
      </w:r>
    </w:p>
    <w:p w14:paraId="117D1A70" w14:textId="77777777" w:rsidR="004A282F" w:rsidRPr="004A282F" w:rsidRDefault="004A282F" w:rsidP="004A282F">
      <w:pPr>
        <w:numPr>
          <w:ilvl w:val="0"/>
          <w:numId w:val="1"/>
        </w:numPr>
        <w:spacing w:before="100" w:beforeAutospacing="1" w:after="100" w:afterAutospacing="1" w:line="240" w:lineRule="auto"/>
        <w:jc w:val="both"/>
        <w:rPr>
          <w:rFonts w:ascii="Times New Roman" w:hAnsi="Times New Roman" w:cs="Times New Roman"/>
          <w:sz w:val="24"/>
          <w:szCs w:val="24"/>
        </w:rPr>
      </w:pPr>
      <w:r w:rsidRPr="004A282F">
        <w:rPr>
          <w:rStyle w:val="Strong"/>
          <w:rFonts w:ascii="Times New Roman" w:hAnsi="Times New Roman" w:cs="Times New Roman"/>
          <w:sz w:val="24"/>
          <w:szCs w:val="24"/>
        </w:rPr>
        <w:t>2013</w:t>
      </w:r>
      <w:r w:rsidRPr="004A282F">
        <w:rPr>
          <w:rFonts w:ascii="Times New Roman" w:hAnsi="Times New Roman" w:cs="Times New Roman"/>
          <w:sz w:val="24"/>
          <w:szCs w:val="24"/>
        </w:rPr>
        <w:t>: The U.S. banking agencies issued final rules for implementing Basel III, with phased implementation beginning in 2014.</w:t>
      </w:r>
    </w:p>
    <w:p w14:paraId="076BEDDE" w14:textId="77777777" w:rsidR="004A282F" w:rsidRPr="004A282F" w:rsidRDefault="004A282F" w:rsidP="004A282F">
      <w:pPr>
        <w:numPr>
          <w:ilvl w:val="0"/>
          <w:numId w:val="1"/>
        </w:numPr>
        <w:spacing w:before="100" w:beforeAutospacing="1" w:after="100" w:afterAutospacing="1" w:line="240" w:lineRule="auto"/>
        <w:jc w:val="both"/>
        <w:rPr>
          <w:rFonts w:ascii="Times New Roman" w:hAnsi="Times New Roman" w:cs="Times New Roman"/>
          <w:sz w:val="24"/>
          <w:szCs w:val="24"/>
        </w:rPr>
      </w:pPr>
      <w:r w:rsidRPr="004A282F">
        <w:rPr>
          <w:rStyle w:val="Strong"/>
          <w:rFonts w:ascii="Times New Roman" w:hAnsi="Times New Roman" w:cs="Times New Roman"/>
          <w:sz w:val="24"/>
          <w:szCs w:val="24"/>
        </w:rPr>
        <w:t>2014-2019</w:t>
      </w:r>
      <w:r w:rsidRPr="004A282F">
        <w:rPr>
          <w:rFonts w:ascii="Times New Roman" w:hAnsi="Times New Roman" w:cs="Times New Roman"/>
          <w:sz w:val="24"/>
          <w:szCs w:val="24"/>
        </w:rPr>
        <w:t>: Gradual phase-in of capital requirements, including the introduction of the capital conservation buffer.</w:t>
      </w:r>
    </w:p>
    <w:p w14:paraId="52911372" w14:textId="77777777" w:rsidR="004A282F" w:rsidRPr="004A282F" w:rsidRDefault="004A282F" w:rsidP="004A282F">
      <w:pPr>
        <w:numPr>
          <w:ilvl w:val="0"/>
          <w:numId w:val="1"/>
        </w:numPr>
        <w:spacing w:before="100" w:beforeAutospacing="1" w:after="100" w:afterAutospacing="1" w:line="240" w:lineRule="auto"/>
        <w:jc w:val="both"/>
        <w:rPr>
          <w:rFonts w:ascii="Times New Roman" w:hAnsi="Times New Roman" w:cs="Times New Roman"/>
          <w:sz w:val="24"/>
          <w:szCs w:val="24"/>
        </w:rPr>
      </w:pPr>
      <w:r w:rsidRPr="004A282F">
        <w:rPr>
          <w:rStyle w:val="Strong"/>
          <w:rFonts w:ascii="Times New Roman" w:hAnsi="Times New Roman" w:cs="Times New Roman"/>
          <w:sz w:val="24"/>
          <w:szCs w:val="24"/>
        </w:rPr>
        <w:t>2015</w:t>
      </w:r>
      <w:r w:rsidRPr="004A282F">
        <w:rPr>
          <w:rFonts w:ascii="Times New Roman" w:hAnsi="Times New Roman" w:cs="Times New Roman"/>
          <w:sz w:val="24"/>
          <w:szCs w:val="24"/>
        </w:rPr>
        <w:t>: The Liquidity Coverage Ratio (LCR) requirement took effect.</w:t>
      </w:r>
    </w:p>
    <w:p w14:paraId="22A3E64A" w14:textId="77777777" w:rsidR="004A282F" w:rsidRPr="004A282F" w:rsidRDefault="004A282F" w:rsidP="004A282F">
      <w:pPr>
        <w:numPr>
          <w:ilvl w:val="0"/>
          <w:numId w:val="1"/>
        </w:numPr>
        <w:spacing w:before="100" w:beforeAutospacing="1" w:after="100" w:afterAutospacing="1" w:line="240" w:lineRule="auto"/>
        <w:jc w:val="both"/>
        <w:rPr>
          <w:rFonts w:ascii="Times New Roman" w:hAnsi="Times New Roman" w:cs="Times New Roman"/>
          <w:sz w:val="24"/>
          <w:szCs w:val="24"/>
        </w:rPr>
      </w:pPr>
      <w:r w:rsidRPr="004A282F">
        <w:rPr>
          <w:rStyle w:val="Strong"/>
          <w:rFonts w:ascii="Times New Roman" w:hAnsi="Times New Roman" w:cs="Times New Roman"/>
          <w:sz w:val="24"/>
          <w:szCs w:val="24"/>
        </w:rPr>
        <w:t>2018</w:t>
      </w:r>
      <w:r w:rsidRPr="004A282F">
        <w:rPr>
          <w:rFonts w:ascii="Times New Roman" w:hAnsi="Times New Roman" w:cs="Times New Roman"/>
          <w:sz w:val="24"/>
          <w:szCs w:val="24"/>
        </w:rPr>
        <w:t>: Full implementation of the LCR requirement.</w:t>
      </w:r>
    </w:p>
    <w:p w14:paraId="04C6719D" w14:textId="77777777" w:rsidR="004A282F" w:rsidRPr="004A282F" w:rsidRDefault="004A282F" w:rsidP="004A282F">
      <w:pPr>
        <w:numPr>
          <w:ilvl w:val="0"/>
          <w:numId w:val="1"/>
        </w:numPr>
        <w:spacing w:before="100" w:beforeAutospacing="1" w:after="100" w:afterAutospacing="1" w:line="240" w:lineRule="auto"/>
        <w:jc w:val="both"/>
        <w:rPr>
          <w:rFonts w:ascii="Times New Roman" w:hAnsi="Times New Roman" w:cs="Times New Roman"/>
          <w:sz w:val="24"/>
          <w:szCs w:val="24"/>
        </w:rPr>
      </w:pPr>
      <w:r w:rsidRPr="004A282F">
        <w:rPr>
          <w:rStyle w:val="Strong"/>
          <w:rFonts w:ascii="Times New Roman" w:hAnsi="Times New Roman" w:cs="Times New Roman"/>
          <w:sz w:val="24"/>
          <w:szCs w:val="24"/>
        </w:rPr>
        <w:t>2019</w:t>
      </w:r>
      <w:r w:rsidRPr="004A282F">
        <w:rPr>
          <w:rFonts w:ascii="Times New Roman" w:hAnsi="Times New Roman" w:cs="Times New Roman"/>
          <w:sz w:val="24"/>
          <w:szCs w:val="24"/>
        </w:rPr>
        <w:t>: Full phase-in of the capital conservation buffer and other capital requirements.</w:t>
      </w:r>
    </w:p>
    <w:p w14:paraId="4C014783" w14:textId="77777777" w:rsidR="004A282F" w:rsidRPr="004A282F" w:rsidRDefault="004A282F" w:rsidP="004A282F">
      <w:pPr>
        <w:pStyle w:val="Heading4"/>
        <w:jc w:val="both"/>
      </w:pPr>
      <w:r w:rsidRPr="004A282F">
        <w:t>Impact on U.S. Banks</w:t>
      </w:r>
    </w:p>
    <w:p w14:paraId="68213E42" w14:textId="77777777" w:rsidR="004A282F" w:rsidRPr="004A282F" w:rsidRDefault="004A282F" w:rsidP="004A282F">
      <w:pPr>
        <w:pStyle w:val="NormalWeb"/>
        <w:numPr>
          <w:ilvl w:val="0"/>
          <w:numId w:val="2"/>
        </w:numPr>
        <w:jc w:val="both"/>
      </w:pPr>
      <w:r w:rsidRPr="004A282F">
        <w:rPr>
          <w:rStyle w:val="Strong"/>
          <w:rFonts w:eastAsiaTheme="majorEastAsia"/>
        </w:rPr>
        <w:t>Increased Capital Ratios</w:t>
      </w:r>
    </w:p>
    <w:p w14:paraId="5E5E69BA" w14:textId="77777777" w:rsidR="004A282F" w:rsidRPr="004A282F" w:rsidRDefault="004A282F" w:rsidP="004A282F">
      <w:pPr>
        <w:numPr>
          <w:ilvl w:val="1"/>
          <w:numId w:val="2"/>
        </w:numPr>
        <w:spacing w:before="100" w:beforeAutospacing="1" w:after="100" w:afterAutospacing="1" w:line="240" w:lineRule="auto"/>
        <w:jc w:val="both"/>
        <w:rPr>
          <w:rFonts w:ascii="Times New Roman" w:hAnsi="Times New Roman" w:cs="Times New Roman"/>
          <w:sz w:val="24"/>
          <w:szCs w:val="24"/>
        </w:rPr>
      </w:pPr>
      <w:r w:rsidRPr="004A282F">
        <w:rPr>
          <w:rFonts w:ascii="Times New Roman" w:hAnsi="Times New Roman" w:cs="Times New Roman"/>
          <w:sz w:val="24"/>
          <w:szCs w:val="24"/>
        </w:rPr>
        <w:t>U.S. banks have significantly increased their capital ratios to meet the stringent Basel III requirements. For example, the average Common Equity Tier 1 (CET1) capital ratio for U.S. banks was 12.0% in 2020, well above the minimum requirement.</w:t>
      </w:r>
    </w:p>
    <w:p w14:paraId="670AF928" w14:textId="77777777" w:rsidR="004A282F" w:rsidRPr="004A282F" w:rsidRDefault="004A282F" w:rsidP="004A282F">
      <w:pPr>
        <w:pStyle w:val="NormalWeb"/>
        <w:numPr>
          <w:ilvl w:val="0"/>
          <w:numId w:val="2"/>
        </w:numPr>
        <w:jc w:val="both"/>
      </w:pPr>
      <w:r w:rsidRPr="004A282F">
        <w:rPr>
          <w:rStyle w:val="Strong"/>
          <w:rFonts w:eastAsiaTheme="majorEastAsia"/>
        </w:rPr>
        <w:t>Enhanced Liquidity</w:t>
      </w:r>
    </w:p>
    <w:p w14:paraId="2B0565A6" w14:textId="77777777" w:rsidR="004A282F" w:rsidRPr="004A282F" w:rsidRDefault="004A282F" w:rsidP="004A282F">
      <w:pPr>
        <w:numPr>
          <w:ilvl w:val="1"/>
          <w:numId w:val="2"/>
        </w:numPr>
        <w:spacing w:before="100" w:beforeAutospacing="1" w:after="100" w:afterAutospacing="1" w:line="240" w:lineRule="auto"/>
        <w:jc w:val="both"/>
        <w:rPr>
          <w:rFonts w:ascii="Times New Roman" w:hAnsi="Times New Roman" w:cs="Times New Roman"/>
          <w:sz w:val="24"/>
          <w:szCs w:val="24"/>
        </w:rPr>
      </w:pPr>
      <w:r w:rsidRPr="004A282F">
        <w:rPr>
          <w:rFonts w:ascii="Times New Roman" w:hAnsi="Times New Roman" w:cs="Times New Roman"/>
          <w:sz w:val="24"/>
          <w:szCs w:val="24"/>
        </w:rPr>
        <w:t>Banks have improved their liquidity profiles to meet the LCR and NSFR requirements. The average LCR for U.S. banks was 130% in 2020, indicating a strong liquidity position.</w:t>
      </w:r>
    </w:p>
    <w:p w14:paraId="09195D49" w14:textId="77777777" w:rsidR="004A282F" w:rsidRPr="004A282F" w:rsidRDefault="004A282F" w:rsidP="004A282F">
      <w:pPr>
        <w:pStyle w:val="NormalWeb"/>
        <w:numPr>
          <w:ilvl w:val="0"/>
          <w:numId w:val="2"/>
        </w:numPr>
        <w:jc w:val="both"/>
      </w:pPr>
      <w:r w:rsidRPr="004A282F">
        <w:rPr>
          <w:rStyle w:val="Strong"/>
          <w:rFonts w:eastAsiaTheme="majorEastAsia"/>
        </w:rPr>
        <w:t>Risk Management</w:t>
      </w:r>
    </w:p>
    <w:p w14:paraId="2D1C740A" w14:textId="77777777" w:rsidR="004A282F" w:rsidRPr="004A282F" w:rsidRDefault="004A282F" w:rsidP="004A282F">
      <w:pPr>
        <w:numPr>
          <w:ilvl w:val="1"/>
          <w:numId w:val="2"/>
        </w:numPr>
        <w:spacing w:before="100" w:beforeAutospacing="1" w:after="100" w:afterAutospacing="1" w:line="240" w:lineRule="auto"/>
        <w:jc w:val="both"/>
        <w:rPr>
          <w:rFonts w:ascii="Times New Roman" w:hAnsi="Times New Roman" w:cs="Times New Roman"/>
          <w:sz w:val="24"/>
          <w:szCs w:val="24"/>
        </w:rPr>
      </w:pPr>
      <w:r w:rsidRPr="004A282F">
        <w:rPr>
          <w:rFonts w:ascii="Times New Roman" w:hAnsi="Times New Roman" w:cs="Times New Roman"/>
          <w:sz w:val="24"/>
          <w:szCs w:val="24"/>
        </w:rPr>
        <w:t>U.S. banks have enhanced their risk management practices, focusing on better identification, measurement, and control of risks. This includes improvements in stress testing and scenario analysis.</w:t>
      </w:r>
    </w:p>
    <w:p w14:paraId="379C7827" w14:textId="77777777" w:rsidR="004A282F" w:rsidRPr="004A282F" w:rsidRDefault="004A282F" w:rsidP="004A282F">
      <w:pPr>
        <w:pStyle w:val="NormalWeb"/>
        <w:numPr>
          <w:ilvl w:val="0"/>
          <w:numId w:val="2"/>
        </w:numPr>
        <w:jc w:val="both"/>
      </w:pPr>
      <w:r w:rsidRPr="004A282F">
        <w:rPr>
          <w:rStyle w:val="Strong"/>
          <w:rFonts w:eastAsiaTheme="majorEastAsia"/>
        </w:rPr>
        <w:t>Operational Changes</w:t>
      </w:r>
    </w:p>
    <w:p w14:paraId="08BA45D1" w14:textId="77777777" w:rsidR="004A282F" w:rsidRPr="004A282F" w:rsidRDefault="004A282F" w:rsidP="004A282F">
      <w:pPr>
        <w:numPr>
          <w:ilvl w:val="1"/>
          <w:numId w:val="2"/>
        </w:numPr>
        <w:spacing w:before="100" w:beforeAutospacing="1" w:after="100" w:afterAutospacing="1" w:line="240" w:lineRule="auto"/>
        <w:jc w:val="both"/>
        <w:rPr>
          <w:rFonts w:ascii="Times New Roman" w:hAnsi="Times New Roman" w:cs="Times New Roman"/>
          <w:sz w:val="24"/>
          <w:szCs w:val="24"/>
        </w:rPr>
      </w:pPr>
      <w:r w:rsidRPr="004A282F">
        <w:rPr>
          <w:rFonts w:ascii="Times New Roman" w:hAnsi="Times New Roman" w:cs="Times New Roman"/>
          <w:sz w:val="24"/>
          <w:szCs w:val="24"/>
        </w:rPr>
        <w:t>Implementation of Basel III has led to significant operational changes, including investments in technology and data management to ensure compliance with new regulatory requirements.</w:t>
      </w:r>
    </w:p>
    <w:p w14:paraId="34F867C5" w14:textId="77777777" w:rsidR="004A282F" w:rsidRPr="004A282F" w:rsidRDefault="004A282F" w:rsidP="004A282F">
      <w:pPr>
        <w:pStyle w:val="NormalWeb"/>
        <w:ind w:left="720"/>
        <w:jc w:val="both"/>
        <w:rPr>
          <w:rStyle w:val="Strong"/>
          <w:b w:val="0"/>
          <w:bCs w:val="0"/>
        </w:rPr>
      </w:pPr>
    </w:p>
    <w:p w14:paraId="784A889B" w14:textId="1E3D692B" w:rsidR="004A282F" w:rsidRPr="004A282F" w:rsidRDefault="004A282F" w:rsidP="004A282F">
      <w:pPr>
        <w:pStyle w:val="NormalWeb"/>
        <w:numPr>
          <w:ilvl w:val="0"/>
          <w:numId w:val="2"/>
        </w:numPr>
        <w:jc w:val="both"/>
      </w:pPr>
      <w:r w:rsidRPr="004A282F">
        <w:rPr>
          <w:rStyle w:val="Strong"/>
          <w:rFonts w:eastAsiaTheme="majorEastAsia"/>
        </w:rPr>
        <w:lastRenderedPageBreak/>
        <w:t>Financial Stability</w:t>
      </w:r>
      <w:r>
        <w:rPr>
          <w:rStyle w:val="Strong"/>
        </w:rPr>
        <w:t xml:space="preserve"> </w:t>
      </w:r>
    </w:p>
    <w:p w14:paraId="5AD2F891" w14:textId="635CD1DA" w:rsidR="004A282F" w:rsidRDefault="004A282F" w:rsidP="004A282F">
      <w:pPr>
        <w:numPr>
          <w:ilvl w:val="1"/>
          <w:numId w:val="2"/>
        </w:numPr>
        <w:spacing w:before="100" w:beforeAutospacing="1" w:after="100" w:afterAutospacing="1" w:line="240" w:lineRule="auto"/>
        <w:jc w:val="both"/>
        <w:rPr>
          <w:rFonts w:ascii="Times New Roman" w:hAnsi="Times New Roman" w:cs="Times New Roman"/>
          <w:sz w:val="24"/>
          <w:szCs w:val="24"/>
        </w:rPr>
      </w:pPr>
      <w:r w:rsidRPr="004A282F">
        <w:rPr>
          <w:rFonts w:ascii="Times New Roman" w:hAnsi="Times New Roman" w:cs="Times New Roman"/>
          <w:sz w:val="24"/>
          <w:szCs w:val="24"/>
        </w:rPr>
        <w:t>The strengthened capital and liquidity requirements have contributed to greater financial stability, making U.S. banks more resilient to economic shocks and financial crises.</w:t>
      </w:r>
    </w:p>
    <w:p w14:paraId="33D49393" w14:textId="77777777" w:rsidR="004A282F" w:rsidRDefault="004A282F" w:rsidP="004A282F">
      <w:pPr>
        <w:pStyle w:val="Heading4"/>
      </w:pPr>
      <w:r>
        <w:t>Data Supporting Basel III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7"/>
        <w:gridCol w:w="1797"/>
        <w:gridCol w:w="1905"/>
      </w:tblGrid>
      <w:tr w:rsidR="004A282F" w14:paraId="5DFFFD96" w14:textId="77777777" w:rsidTr="004A282F">
        <w:trPr>
          <w:tblHeader/>
          <w:tblCellSpacing w:w="15" w:type="dxa"/>
        </w:trPr>
        <w:tc>
          <w:tcPr>
            <w:tcW w:w="0" w:type="auto"/>
            <w:vAlign w:val="center"/>
            <w:hideMark/>
          </w:tcPr>
          <w:p w14:paraId="7D2E2DF0" w14:textId="77777777" w:rsidR="004A282F" w:rsidRDefault="004A282F">
            <w:pPr>
              <w:jc w:val="center"/>
              <w:rPr>
                <w:b/>
                <w:bCs/>
              </w:rPr>
            </w:pPr>
            <w:r>
              <w:rPr>
                <w:b/>
                <w:bCs/>
              </w:rPr>
              <w:t>Metric</w:t>
            </w:r>
          </w:p>
        </w:tc>
        <w:tc>
          <w:tcPr>
            <w:tcW w:w="0" w:type="auto"/>
            <w:vAlign w:val="center"/>
            <w:hideMark/>
          </w:tcPr>
          <w:p w14:paraId="6FA55196" w14:textId="77777777" w:rsidR="004A282F" w:rsidRDefault="004A282F">
            <w:pPr>
              <w:jc w:val="center"/>
              <w:rPr>
                <w:b/>
                <w:bCs/>
              </w:rPr>
            </w:pPr>
            <w:r>
              <w:rPr>
                <w:b/>
                <w:bCs/>
              </w:rPr>
              <w:t>Pre-Basel III (2013)</w:t>
            </w:r>
          </w:p>
        </w:tc>
        <w:tc>
          <w:tcPr>
            <w:tcW w:w="0" w:type="auto"/>
            <w:vAlign w:val="center"/>
            <w:hideMark/>
          </w:tcPr>
          <w:p w14:paraId="3437DC02" w14:textId="77777777" w:rsidR="004A282F" w:rsidRDefault="004A282F">
            <w:pPr>
              <w:jc w:val="center"/>
              <w:rPr>
                <w:b/>
                <w:bCs/>
              </w:rPr>
            </w:pPr>
            <w:r>
              <w:rPr>
                <w:b/>
                <w:bCs/>
              </w:rPr>
              <w:t>Post-Basel III (2020)</w:t>
            </w:r>
          </w:p>
        </w:tc>
      </w:tr>
      <w:tr w:rsidR="004A282F" w14:paraId="58903EC2" w14:textId="77777777" w:rsidTr="004A282F">
        <w:trPr>
          <w:tblCellSpacing w:w="15" w:type="dxa"/>
        </w:trPr>
        <w:tc>
          <w:tcPr>
            <w:tcW w:w="0" w:type="auto"/>
            <w:vAlign w:val="center"/>
            <w:hideMark/>
          </w:tcPr>
          <w:p w14:paraId="40B03A8F" w14:textId="77777777" w:rsidR="004A282F" w:rsidRDefault="004A282F">
            <w:r>
              <w:t>Common Equity Tier 1 (CET1) Ratio</w:t>
            </w:r>
          </w:p>
        </w:tc>
        <w:tc>
          <w:tcPr>
            <w:tcW w:w="0" w:type="auto"/>
            <w:vAlign w:val="center"/>
            <w:hideMark/>
          </w:tcPr>
          <w:p w14:paraId="43C35C56" w14:textId="77777777" w:rsidR="004A282F" w:rsidRDefault="004A282F">
            <w:r>
              <w:t>10.2%</w:t>
            </w:r>
          </w:p>
        </w:tc>
        <w:tc>
          <w:tcPr>
            <w:tcW w:w="0" w:type="auto"/>
            <w:vAlign w:val="center"/>
            <w:hideMark/>
          </w:tcPr>
          <w:p w14:paraId="38BA27A9" w14:textId="77777777" w:rsidR="004A282F" w:rsidRDefault="004A282F">
            <w:r>
              <w:t>12.0%</w:t>
            </w:r>
          </w:p>
        </w:tc>
      </w:tr>
      <w:tr w:rsidR="004A282F" w14:paraId="798E7238" w14:textId="77777777" w:rsidTr="004A282F">
        <w:trPr>
          <w:tblCellSpacing w:w="15" w:type="dxa"/>
        </w:trPr>
        <w:tc>
          <w:tcPr>
            <w:tcW w:w="0" w:type="auto"/>
            <w:vAlign w:val="center"/>
            <w:hideMark/>
          </w:tcPr>
          <w:p w14:paraId="30C47371" w14:textId="77777777" w:rsidR="004A282F" w:rsidRDefault="004A282F">
            <w:r>
              <w:t>Total Capital Ratio</w:t>
            </w:r>
          </w:p>
        </w:tc>
        <w:tc>
          <w:tcPr>
            <w:tcW w:w="0" w:type="auto"/>
            <w:vAlign w:val="center"/>
            <w:hideMark/>
          </w:tcPr>
          <w:p w14:paraId="7B8D7D28" w14:textId="77777777" w:rsidR="004A282F" w:rsidRDefault="004A282F">
            <w:r>
              <w:t>13.8%</w:t>
            </w:r>
          </w:p>
        </w:tc>
        <w:tc>
          <w:tcPr>
            <w:tcW w:w="0" w:type="auto"/>
            <w:vAlign w:val="center"/>
            <w:hideMark/>
          </w:tcPr>
          <w:p w14:paraId="7E074FD4" w14:textId="77777777" w:rsidR="004A282F" w:rsidRDefault="004A282F">
            <w:r>
              <w:t>15.2%</w:t>
            </w:r>
          </w:p>
        </w:tc>
      </w:tr>
      <w:tr w:rsidR="004A282F" w14:paraId="725268FD" w14:textId="77777777" w:rsidTr="004A282F">
        <w:trPr>
          <w:tblCellSpacing w:w="15" w:type="dxa"/>
        </w:trPr>
        <w:tc>
          <w:tcPr>
            <w:tcW w:w="0" w:type="auto"/>
            <w:vAlign w:val="center"/>
            <w:hideMark/>
          </w:tcPr>
          <w:p w14:paraId="68C0D86F" w14:textId="77777777" w:rsidR="004A282F" w:rsidRDefault="004A282F">
            <w:r>
              <w:t>Liquidity Coverage Ratio (LCR)</w:t>
            </w:r>
          </w:p>
        </w:tc>
        <w:tc>
          <w:tcPr>
            <w:tcW w:w="0" w:type="auto"/>
            <w:vAlign w:val="center"/>
            <w:hideMark/>
          </w:tcPr>
          <w:p w14:paraId="493C1189" w14:textId="77777777" w:rsidR="004A282F" w:rsidRDefault="004A282F">
            <w:r>
              <w:t>Not Applicable</w:t>
            </w:r>
          </w:p>
        </w:tc>
        <w:tc>
          <w:tcPr>
            <w:tcW w:w="0" w:type="auto"/>
            <w:vAlign w:val="center"/>
            <w:hideMark/>
          </w:tcPr>
          <w:p w14:paraId="20798E3C" w14:textId="77777777" w:rsidR="004A282F" w:rsidRDefault="004A282F">
            <w:r>
              <w:t>130%</w:t>
            </w:r>
          </w:p>
        </w:tc>
      </w:tr>
      <w:tr w:rsidR="004A282F" w14:paraId="52A83CE5" w14:textId="77777777" w:rsidTr="004A282F">
        <w:trPr>
          <w:tblCellSpacing w:w="15" w:type="dxa"/>
        </w:trPr>
        <w:tc>
          <w:tcPr>
            <w:tcW w:w="0" w:type="auto"/>
            <w:vAlign w:val="center"/>
            <w:hideMark/>
          </w:tcPr>
          <w:p w14:paraId="5E929FE7" w14:textId="77777777" w:rsidR="004A282F" w:rsidRDefault="004A282F">
            <w:r>
              <w:t>Net Stable Funding Ratio (NSFR)</w:t>
            </w:r>
          </w:p>
        </w:tc>
        <w:tc>
          <w:tcPr>
            <w:tcW w:w="0" w:type="auto"/>
            <w:vAlign w:val="center"/>
            <w:hideMark/>
          </w:tcPr>
          <w:p w14:paraId="3A0D53A2" w14:textId="77777777" w:rsidR="004A282F" w:rsidRDefault="004A282F">
            <w:r>
              <w:t>Not Applicable</w:t>
            </w:r>
          </w:p>
        </w:tc>
        <w:tc>
          <w:tcPr>
            <w:tcW w:w="0" w:type="auto"/>
            <w:vAlign w:val="center"/>
            <w:hideMark/>
          </w:tcPr>
          <w:p w14:paraId="2C4E4B37" w14:textId="77777777" w:rsidR="004A282F" w:rsidRDefault="004A282F">
            <w:r>
              <w:t>110%</w:t>
            </w:r>
          </w:p>
        </w:tc>
      </w:tr>
      <w:tr w:rsidR="004A282F" w14:paraId="548E9878" w14:textId="77777777" w:rsidTr="004A282F">
        <w:trPr>
          <w:tblCellSpacing w:w="15" w:type="dxa"/>
        </w:trPr>
        <w:tc>
          <w:tcPr>
            <w:tcW w:w="0" w:type="auto"/>
            <w:vAlign w:val="center"/>
            <w:hideMark/>
          </w:tcPr>
          <w:p w14:paraId="1B34F4B6" w14:textId="77777777" w:rsidR="004A282F" w:rsidRDefault="004A282F">
            <w:r>
              <w:t>Average Risk-Weighted Assets (RWA)</w:t>
            </w:r>
          </w:p>
        </w:tc>
        <w:tc>
          <w:tcPr>
            <w:tcW w:w="0" w:type="auto"/>
            <w:vAlign w:val="center"/>
            <w:hideMark/>
          </w:tcPr>
          <w:p w14:paraId="599CA396" w14:textId="77777777" w:rsidR="004A282F" w:rsidRDefault="004A282F">
            <w:r>
              <w:t>$7.5 trillion</w:t>
            </w:r>
          </w:p>
        </w:tc>
        <w:tc>
          <w:tcPr>
            <w:tcW w:w="0" w:type="auto"/>
            <w:vAlign w:val="center"/>
            <w:hideMark/>
          </w:tcPr>
          <w:p w14:paraId="693C978B" w14:textId="77777777" w:rsidR="004A282F" w:rsidRDefault="004A282F">
            <w:r>
              <w:t>$8.1 trillion</w:t>
            </w:r>
          </w:p>
        </w:tc>
      </w:tr>
      <w:tr w:rsidR="004A282F" w14:paraId="22A0D852" w14:textId="77777777" w:rsidTr="004A282F">
        <w:trPr>
          <w:tblCellSpacing w:w="15" w:type="dxa"/>
        </w:trPr>
        <w:tc>
          <w:tcPr>
            <w:tcW w:w="0" w:type="auto"/>
            <w:vAlign w:val="center"/>
            <w:hideMark/>
          </w:tcPr>
          <w:p w14:paraId="7D7C1FC9" w14:textId="77777777" w:rsidR="004A282F" w:rsidRDefault="004A282F">
            <w:r>
              <w:t>Number of Stress Tests Conducted</w:t>
            </w:r>
          </w:p>
        </w:tc>
        <w:tc>
          <w:tcPr>
            <w:tcW w:w="0" w:type="auto"/>
            <w:vAlign w:val="center"/>
            <w:hideMark/>
          </w:tcPr>
          <w:p w14:paraId="1DDC6D50" w14:textId="77777777" w:rsidR="004A282F" w:rsidRDefault="004A282F">
            <w:r>
              <w:t>1 per year</w:t>
            </w:r>
          </w:p>
        </w:tc>
        <w:tc>
          <w:tcPr>
            <w:tcW w:w="0" w:type="auto"/>
            <w:vAlign w:val="center"/>
            <w:hideMark/>
          </w:tcPr>
          <w:p w14:paraId="2C5A6351" w14:textId="77777777" w:rsidR="004A282F" w:rsidRDefault="004A282F">
            <w:r>
              <w:t>2 per year</w:t>
            </w:r>
          </w:p>
        </w:tc>
      </w:tr>
      <w:tr w:rsidR="004A282F" w14:paraId="0A294995" w14:textId="77777777" w:rsidTr="004A282F">
        <w:trPr>
          <w:tblCellSpacing w:w="15" w:type="dxa"/>
        </w:trPr>
        <w:tc>
          <w:tcPr>
            <w:tcW w:w="0" w:type="auto"/>
            <w:vAlign w:val="center"/>
            <w:hideMark/>
          </w:tcPr>
          <w:p w14:paraId="0F97769E" w14:textId="77777777" w:rsidR="004A282F" w:rsidRDefault="004A282F">
            <w:r>
              <w:t>Average Leverage Ratio</w:t>
            </w:r>
          </w:p>
        </w:tc>
        <w:tc>
          <w:tcPr>
            <w:tcW w:w="0" w:type="auto"/>
            <w:vAlign w:val="center"/>
            <w:hideMark/>
          </w:tcPr>
          <w:p w14:paraId="40AE410C" w14:textId="77777777" w:rsidR="004A282F" w:rsidRDefault="004A282F">
            <w:r>
              <w:t>5.5%</w:t>
            </w:r>
          </w:p>
        </w:tc>
        <w:tc>
          <w:tcPr>
            <w:tcW w:w="0" w:type="auto"/>
            <w:vAlign w:val="center"/>
            <w:hideMark/>
          </w:tcPr>
          <w:p w14:paraId="7802454B" w14:textId="77777777" w:rsidR="004A282F" w:rsidRDefault="004A282F">
            <w:r>
              <w:t>6.5%</w:t>
            </w:r>
          </w:p>
        </w:tc>
      </w:tr>
    </w:tbl>
    <w:p w14:paraId="6CF88C01" w14:textId="13BD6695" w:rsidR="004A282F" w:rsidRDefault="004A282F" w:rsidP="004A282F">
      <w:pPr>
        <w:pStyle w:val="Heading3"/>
      </w:pPr>
    </w:p>
    <w:p w14:paraId="161FE905" w14:textId="64151EBE" w:rsidR="004A282F" w:rsidRDefault="004A282F" w:rsidP="004A282F">
      <w:pPr>
        <w:pStyle w:val="NormalWeb"/>
      </w:pPr>
      <w:r>
        <w:t>The implementation of Basel III regulations in the U.S. has led to a more resilient banking sector with stronger capital and liquidity positions. U.S. banks have adapted by increasing their capital ratios, improving liquidity management, and enhancing risk management practices. These changes have contributed to greater financial stability and a more robust framework for managing financial stress and economic shocks.</w:t>
      </w:r>
    </w:p>
    <w:p w14:paraId="243118AA" w14:textId="77777777" w:rsidR="004A282F" w:rsidRDefault="004A282F" w:rsidP="004A282F">
      <w:pPr>
        <w:pStyle w:val="NormalWeb"/>
        <w:rPr>
          <w:b/>
        </w:rPr>
      </w:pPr>
    </w:p>
    <w:p w14:paraId="33EBC036" w14:textId="77777777" w:rsidR="004A282F" w:rsidRDefault="004A282F" w:rsidP="004A282F">
      <w:pPr>
        <w:pStyle w:val="NormalWeb"/>
        <w:rPr>
          <w:b/>
        </w:rPr>
      </w:pPr>
    </w:p>
    <w:p w14:paraId="1D0C362E" w14:textId="77777777" w:rsidR="004A282F" w:rsidRDefault="004A282F" w:rsidP="004A282F">
      <w:pPr>
        <w:pStyle w:val="NormalWeb"/>
        <w:rPr>
          <w:b/>
        </w:rPr>
      </w:pPr>
    </w:p>
    <w:p w14:paraId="78D1831A" w14:textId="77777777" w:rsidR="004A282F" w:rsidRDefault="004A282F" w:rsidP="004A282F">
      <w:pPr>
        <w:pStyle w:val="NormalWeb"/>
        <w:rPr>
          <w:b/>
        </w:rPr>
      </w:pPr>
    </w:p>
    <w:p w14:paraId="39E53965" w14:textId="77777777" w:rsidR="004A282F" w:rsidRDefault="004A282F" w:rsidP="004A282F">
      <w:pPr>
        <w:pStyle w:val="NormalWeb"/>
        <w:rPr>
          <w:b/>
        </w:rPr>
      </w:pPr>
    </w:p>
    <w:p w14:paraId="54800C08" w14:textId="77777777" w:rsidR="004A282F" w:rsidRDefault="004A282F" w:rsidP="004A282F">
      <w:pPr>
        <w:pStyle w:val="NormalWeb"/>
        <w:rPr>
          <w:b/>
        </w:rPr>
      </w:pPr>
    </w:p>
    <w:p w14:paraId="5C6282AF" w14:textId="77777777" w:rsidR="004A282F" w:rsidRDefault="004A282F" w:rsidP="004A282F">
      <w:pPr>
        <w:pStyle w:val="NormalWeb"/>
        <w:rPr>
          <w:b/>
        </w:rPr>
      </w:pPr>
    </w:p>
    <w:p w14:paraId="08C5B26A" w14:textId="77777777" w:rsidR="004A282F" w:rsidRDefault="004A282F" w:rsidP="004A282F">
      <w:pPr>
        <w:pStyle w:val="NormalWeb"/>
        <w:rPr>
          <w:b/>
        </w:rPr>
      </w:pPr>
    </w:p>
    <w:p w14:paraId="19495D35" w14:textId="235A3678" w:rsidR="004A282F" w:rsidRDefault="004A282F" w:rsidP="004A282F">
      <w:pPr>
        <w:pStyle w:val="NormalWeb"/>
        <w:rPr>
          <w:b/>
        </w:rPr>
      </w:pPr>
      <w:r w:rsidRPr="004A282F">
        <w:rPr>
          <w:b/>
        </w:rPr>
        <w:lastRenderedPageBreak/>
        <w:t>The</w:t>
      </w:r>
      <w:r w:rsidRPr="004A282F">
        <w:rPr>
          <w:b/>
        </w:rPr>
        <w:t xml:space="preserve"> impact of Basel III regulations on U.S. banks over the past 10 years</w:t>
      </w:r>
    </w:p>
    <w:p w14:paraId="360DB9F2" w14:textId="77777777" w:rsidR="004A282F" w:rsidRPr="004A282F" w:rsidRDefault="004A282F" w:rsidP="004A282F">
      <w:pPr>
        <w:pStyle w:val="Heading3"/>
        <w:rPr>
          <w:rFonts w:ascii="Times New Roman" w:hAnsi="Times New Roman" w:cs="Times New Roman"/>
          <w:color w:val="000000" w:themeColor="text1"/>
        </w:rPr>
      </w:pPr>
      <w:r w:rsidRPr="004A282F">
        <w:rPr>
          <w:rFonts w:ascii="Times New Roman" w:hAnsi="Times New Roman" w:cs="Times New Roman"/>
          <w:color w:val="000000" w:themeColor="text1"/>
        </w:rPr>
        <w:t>Key Financial Metrics of U.S. Banks (2013-2022)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
        <w:gridCol w:w="1403"/>
        <w:gridCol w:w="2110"/>
        <w:gridCol w:w="761"/>
        <w:gridCol w:w="901"/>
        <w:gridCol w:w="1794"/>
      </w:tblGrid>
      <w:tr w:rsidR="004A282F" w14:paraId="40C4A84E" w14:textId="77777777" w:rsidTr="004A282F">
        <w:trPr>
          <w:tblHeader/>
          <w:tblCellSpacing w:w="15" w:type="dxa"/>
        </w:trPr>
        <w:tc>
          <w:tcPr>
            <w:tcW w:w="0" w:type="auto"/>
            <w:vAlign w:val="center"/>
            <w:hideMark/>
          </w:tcPr>
          <w:p w14:paraId="47A3506E" w14:textId="77777777" w:rsidR="004A282F" w:rsidRDefault="004A282F">
            <w:pPr>
              <w:jc w:val="center"/>
              <w:rPr>
                <w:b/>
                <w:bCs/>
              </w:rPr>
            </w:pPr>
            <w:r>
              <w:rPr>
                <w:b/>
                <w:bCs/>
              </w:rPr>
              <w:t>Year</w:t>
            </w:r>
          </w:p>
        </w:tc>
        <w:tc>
          <w:tcPr>
            <w:tcW w:w="0" w:type="auto"/>
            <w:vAlign w:val="center"/>
            <w:hideMark/>
          </w:tcPr>
          <w:p w14:paraId="5F516BCB" w14:textId="77777777" w:rsidR="004A282F" w:rsidRDefault="004A282F">
            <w:pPr>
              <w:jc w:val="center"/>
              <w:rPr>
                <w:b/>
                <w:bCs/>
              </w:rPr>
            </w:pPr>
            <w:r>
              <w:rPr>
                <w:b/>
                <w:bCs/>
              </w:rPr>
              <w:t>CET1 Ratio (%)</w:t>
            </w:r>
          </w:p>
        </w:tc>
        <w:tc>
          <w:tcPr>
            <w:tcW w:w="0" w:type="auto"/>
            <w:vAlign w:val="center"/>
            <w:hideMark/>
          </w:tcPr>
          <w:p w14:paraId="51A130CC" w14:textId="77777777" w:rsidR="004A282F" w:rsidRDefault="004A282F">
            <w:pPr>
              <w:jc w:val="center"/>
              <w:rPr>
                <w:b/>
                <w:bCs/>
              </w:rPr>
            </w:pPr>
            <w:r>
              <w:rPr>
                <w:b/>
                <w:bCs/>
              </w:rPr>
              <w:t>Total Capital Ratio (%)</w:t>
            </w:r>
          </w:p>
        </w:tc>
        <w:tc>
          <w:tcPr>
            <w:tcW w:w="0" w:type="auto"/>
            <w:vAlign w:val="center"/>
            <w:hideMark/>
          </w:tcPr>
          <w:p w14:paraId="2FD9EB16" w14:textId="77777777" w:rsidR="004A282F" w:rsidRDefault="004A282F">
            <w:pPr>
              <w:jc w:val="center"/>
              <w:rPr>
                <w:b/>
                <w:bCs/>
              </w:rPr>
            </w:pPr>
            <w:r>
              <w:rPr>
                <w:b/>
                <w:bCs/>
              </w:rPr>
              <w:t>LCR (%)</w:t>
            </w:r>
          </w:p>
        </w:tc>
        <w:tc>
          <w:tcPr>
            <w:tcW w:w="0" w:type="auto"/>
            <w:vAlign w:val="center"/>
            <w:hideMark/>
          </w:tcPr>
          <w:p w14:paraId="561C70D3" w14:textId="77777777" w:rsidR="004A282F" w:rsidRDefault="004A282F">
            <w:pPr>
              <w:jc w:val="center"/>
              <w:rPr>
                <w:b/>
                <w:bCs/>
              </w:rPr>
            </w:pPr>
            <w:r>
              <w:rPr>
                <w:b/>
                <w:bCs/>
              </w:rPr>
              <w:t>NSFR (%)</w:t>
            </w:r>
          </w:p>
        </w:tc>
        <w:tc>
          <w:tcPr>
            <w:tcW w:w="0" w:type="auto"/>
            <w:vAlign w:val="center"/>
            <w:hideMark/>
          </w:tcPr>
          <w:p w14:paraId="1C213395" w14:textId="77777777" w:rsidR="004A282F" w:rsidRDefault="004A282F">
            <w:pPr>
              <w:jc w:val="center"/>
              <w:rPr>
                <w:b/>
                <w:bCs/>
              </w:rPr>
            </w:pPr>
            <w:r>
              <w:rPr>
                <w:b/>
                <w:bCs/>
              </w:rPr>
              <w:t>Leverage Ratio (%)</w:t>
            </w:r>
          </w:p>
        </w:tc>
      </w:tr>
      <w:tr w:rsidR="004A282F" w14:paraId="07DEB607" w14:textId="77777777" w:rsidTr="004A282F">
        <w:trPr>
          <w:tblCellSpacing w:w="15" w:type="dxa"/>
        </w:trPr>
        <w:tc>
          <w:tcPr>
            <w:tcW w:w="0" w:type="auto"/>
            <w:vAlign w:val="center"/>
            <w:hideMark/>
          </w:tcPr>
          <w:p w14:paraId="5379959F" w14:textId="77777777" w:rsidR="004A282F" w:rsidRDefault="004A282F">
            <w:r>
              <w:t>2013</w:t>
            </w:r>
          </w:p>
        </w:tc>
        <w:tc>
          <w:tcPr>
            <w:tcW w:w="0" w:type="auto"/>
            <w:vAlign w:val="center"/>
            <w:hideMark/>
          </w:tcPr>
          <w:p w14:paraId="7A6DD411" w14:textId="77777777" w:rsidR="004A282F" w:rsidRDefault="004A282F">
            <w:r>
              <w:t>10.2</w:t>
            </w:r>
          </w:p>
        </w:tc>
        <w:tc>
          <w:tcPr>
            <w:tcW w:w="0" w:type="auto"/>
            <w:vAlign w:val="center"/>
            <w:hideMark/>
          </w:tcPr>
          <w:p w14:paraId="626D922D" w14:textId="77777777" w:rsidR="004A282F" w:rsidRDefault="004A282F">
            <w:r>
              <w:t>13.8</w:t>
            </w:r>
          </w:p>
        </w:tc>
        <w:tc>
          <w:tcPr>
            <w:tcW w:w="0" w:type="auto"/>
            <w:vAlign w:val="center"/>
            <w:hideMark/>
          </w:tcPr>
          <w:p w14:paraId="208DA7E2" w14:textId="77777777" w:rsidR="004A282F" w:rsidRDefault="004A282F">
            <w:r>
              <w:t>0</w:t>
            </w:r>
          </w:p>
        </w:tc>
        <w:tc>
          <w:tcPr>
            <w:tcW w:w="0" w:type="auto"/>
            <w:vAlign w:val="center"/>
            <w:hideMark/>
          </w:tcPr>
          <w:p w14:paraId="756E5347" w14:textId="77777777" w:rsidR="004A282F" w:rsidRDefault="004A282F">
            <w:r>
              <w:t>0</w:t>
            </w:r>
          </w:p>
        </w:tc>
        <w:tc>
          <w:tcPr>
            <w:tcW w:w="0" w:type="auto"/>
            <w:vAlign w:val="center"/>
            <w:hideMark/>
          </w:tcPr>
          <w:p w14:paraId="247DC441" w14:textId="77777777" w:rsidR="004A282F" w:rsidRDefault="004A282F">
            <w:r>
              <w:t>5.5</w:t>
            </w:r>
          </w:p>
        </w:tc>
      </w:tr>
      <w:tr w:rsidR="004A282F" w14:paraId="20C2E3CF" w14:textId="77777777" w:rsidTr="004A282F">
        <w:trPr>
          <w:tblCellSpacing w:w="15" w:type="dxa"/>
        </w:trPr>
        <w:tc>
          <w:tcPr>
            <w:tcW w:w="0" w:type="auto"/>
            <w:vAlign w:val="center"/>
            <w:hideMark/>
          </w:tcPr>
          <w:p w14:paraId="05F9D7CE" w14:textId="77777777" w:rsidR="004A282F" w:rsidRDefault="004A282F">
            <w:r>
              <w:t>2014</w:t>
            </w:r>
          </w:p>
        </w:tc>
        <w:tc>
          <w:tcPr>
            <w:tcW w:w="0" w:type="auto"/>
            <w:vAlign w:val="center"/>
            <w:hideMark/>
          </w:tcPr>
          <w:p w14:paraId="5CD8A239" w14:textId="77777777" w:rsidR="004A282F" w:rsidRDefault="004A282F">
            <w:r>
              <w:t>10.5</w:t>
            </w:r>
          </w:p>
        </w:tc>
        <w:tc>
          <w:tcPr>
            <w:tcW w:w="0" w:type="auto"/>
            <w:vAlign w:val="center"/>
            <w:hideMark/>
          </w:tcPr>
          <w:p w14:paraId="7DD43ADF" w14:textId="77777777" w:rsidR="004A282F" w:rsidRDefault="004A282F">
            <w:r>
              <w:t>14.1</w:t>
            </w:r>
          </w:p>
        </w:tc>
        <w:tc>
          <w:tcPr>
            <w:tcW w:w="0" w:type="auto"/>
            <w:vAlign w:val="center"/>
            <w:hideMark/>
          </w:tcPr>
          <w:p w14:paraId="51E378DE" w14:textId="77777777" w:rsidR="004A282F" w:rsidRDefault="004A282F">
            <w:r>
              <w:t>70</w:t>
            </w:r>
          </w:p>
        </w:tc>
        <w:tc>
          <w:tcPr>
            <w:tcW w:w="0" w:type="auto"/>
            <w:vAlign w:val="center"/>
            <w:hideMark/>
          </w:tcPr>
          <w:p w14:paraId="1EA0C03B" w14:textId="77777777" w:rsidR="004A282F" w:rsidRDefault="004A282F">
            <w:r>
              <w:t>50</w:t>
            </w:r>
          </w:p>
        </w:tc>
        <w:tc>
          <w:tcPr>
            <w:tcW w:w="0" w:type="auto"/>
            <w:vAlign w:val="center"/>
            <w:hideMark/>
          </w:tcPr>
          <w:p w14:paraId="17FB5A46" w14:textId="77777777" w:rsidR="004A282F" w:rsidRDefault="004A282F">
            <w:r>
              <w:t>5.8</w:t>
            </w:r>
          </w:p>
        </w:tc>
      </w:tr>
      <w:tr w:rsidR="004A282F" w14:paraId="589BA516" w14:textId="77777777" w:rsidTr="004A282F">
        <w:trPr>
          <w:tblCellSpacing w:w="15" w:type="dxa"/>
        </w:trPr>
        <w:tc>
          <w:tcPr>
            <w:tcW w:w="0" w:type="auto"/>
            <w:vAlign w:val="center"/>
            <w:hideMark/>
          </w:tcPr>
          <w:p w14:paraId="6FAA2E66" w14:textId="77777777" w:rsidR="004A282F" w:rsidRDefault="004A282F">
            <w:r>
              <w:t>2015</w:t>
            </w:r>
          </w:p>
        </w:tc>
        <w:tc>
          <w:tcPr>
            <w:tcW w:w="0" w:type="auto"/>
            <w:vAlign w:val="center"/>
            <w:hideMark/>
          </w:tcPr>
          <w:p w14:paraId="6EC2F3B7" w14:textId="77777777" w:rsidR="004A282F" w:rsidRDefault="004A282F">
            <w:r>
              <w:t>10.8</w:t>
            </w:r>
          </w:p>
        </w:tc>
        <w:tc>
          <w:tcPr>
            <w:tcW w:w="0" w:type="auto"/>
            <w:vAlign w:val="center"/>
            <w:hideMark/>
          </w:tcPr>
          <w:p w14:paraId="480CACA4" w14:textId="77777777" w:rsidR="004A282F" w:rsidRDefault="004A282F">
            <w:r>
              <w:t>14.5</w:t>
            </w:r>
          </w:p>
        </w:tc>
        <w:tc>
          <w:tcPr>
            <w:tcW w:w="0" w:type="auto"/>
            <w:vAlign w:val="center"/>
            <w:hideMark/>
          </w:tcPr>
          <w:p w14:paraId="2947DE7B" w14:textId="77777777" w:rsidR="004A282F" w:rsidRDefault="004A282F">
            <w:r>
              <w:t>90</w:t>
            </w:r>
          </w:p>
        </w:tc>
        <w:tc>
          <w:tcPr>
            <w:tcW w:w="0" w:type="auto"/>
            <w:vAlign w:val="center"/>
            <w:hideMark/>
          </w:tcPr>
          <w:p w14:paraId="452ED26D" w14:textId="77777777" w:rsidR="004A282F" w:rsidRDefault="004A282F">
            <w:r>
              <w:t>60</w:t>
            </w:r>
          </w:p>
        </w:tc>
        <w:tc>
          <w:tcPr>
            <w:tcW w:w="0" w:type="auto"/>
            <w:vAlign w:val="center"/>
            <w:hideMark/>
          </w:tcPr>
          <w:p w14:paraId="304B6CDA" w14:textId="77777777" w:rsidR="004A282F" w:rsidRDefault="004A282F">
            <w:r>
              <w:t>6.0</w:t>
            </w:r>
          </w:p>
        </w:tc>
      </w:tr>
      <w:tr w:rsidR="004A282F" w14:paraId="38876FCB" w14:textId="77777777" w:rsidTr="004A282F">
        <w:trPr>
          <w:tblCellSpacing w:w="15" w:type="dxa"/>
        </w:trPr>
        <w:tc>
          <w:tcPr>
            <w:tcW w:w="0" w:type="auto"/>
            <w:vAlign w:val="center"/>
            <w:hideMark/>
          </w:tcPr>
          <w:p w14:paraId="6619182E" w14:textId="77777777" w:rsidR="004A282F" w:rsidRDefault="004A282F">
            <w:r>
              <w:t>2016</w:t>
            </w:r>
          </w:p>
        </w:tc>
        <w:tc>
          <w:tcPr>
            <w:tcW w:w="0" w:type="auto"/>
            <w:vAlign w:val="center"/>
            <w:hideMark/>
          </w:tcPr>
          <w:p w14:paraId="6BC178B8" w14:textId="77777777" w:rsidR="004A282F" w:rsidRDefault="004A282F">
            <w:r>
              <w:t>11.0</w:t>
            </w:r>
          </w:p>
        </w:tc>
        <w:tc>
          <w:tcPr>
            <w:tcW w:w="0" w:type="auto"/>
            <w:vAlign w:val="center"/>
            <w:hideMark/>
          </w:tcPr>
          <w:p w14:paraId="78412D24" w14:textId="77777777" w:rsidR="004A282F" w:rsidRDefault="004A282F">
            <w:r>
              <w:t>14.8</w:t>
            </w:r>
          </w:p>
        </w:tc>
        <w:tc>
          <w:tcPr>
            <w:tcW w:w="0" w:type="auto"/>
            <w:vAlign w:val="center"/>
            <w:hideMark/>
          </w:tcPr>
          <w:p w14:paraId="776DB97B" w14:textId="77777777" w:rsidR="004A282F" w:rsidRDefault="004A282F">
            <w:r>
              <w:t>100</w:t>
            </w:r>
          </w:p>
        </w:tc>
        <w:tc>
          <w:tcPr>
            <w:tcW w:w="0" w:type="auto"/>
            <w:vAlign w:val="center"/>
            <w:hideMark/>
          </w:tcPr>
          <w:p w14:paraId="4771AA2E" w14:textId="77777777" w:rsidR="004A282F" w:rsidRDefault="004A282F">
            <w:r>
              <w:t>80</w:t>
            </w:r>
          </w:p>
        </w:tc>
        <w:tc>
          <w:tcPr>
            <w:tcW w:w="0" w:type="auto"/>
            <w:vAlign w:val="center"/>
            <w:hideMark/>
          </w:tcPr>
          <w:p w14:paraId="6E9A8259" w14:textId="77777777" w:rsidR="004A282F" w:rsidRDefault="004A282F">
            <w:r>
              <w:t>6.2</w:t>
            </w:r>
          </w:p>
        </w:tc>
      </w:tr>
      <w:tr w:rsidR="004A282F" w14:paraId="5C90A08E" w14:textId="77777777" w:rsidTr="004A282F">
        <w:trPr>
          <w:tblCellSpacing w:w="15" w:type="dxa"/>
        </w:trPr>
        <w:tc>
          <w:tcPr>
            <w:tcW w:w="0" w:type="auto"/>
            <w:vAlign w:val="center"/>
            <w:hideMark/>
          </w:tcPr>
          <w:p w14:paraId="3ED8821B" w14:textId="77777777" w:rsidR="004A282F" w:rsidRDefault="004A282F">
            <w:r>
              <w:t>2017</w:t>
            </w:r>
          </w:p>
        </w:tc>
        <w:tc>
          <w:tcPr>
            <w:tcW w:w="0" w:type="auto"/>
            <w:vAlign w:val="center"/>
            <w:hideMark/>
          </w:tcPr>
          <w:p w14:paraId="13042AF7" w14:textId="77777777" w:rsidR="004A282F" w:rsidRDefault="004A282F">
            <w:r>
              <w:t>11.3</w:t>
            </w:r>
          </w:p>
        </w:tc>
        <w:tc>
          <w:tcPr>
            <w:tcW w:w="0" w:type="auto"/>
            <w:vAlign w:val="center"/>
            <w:hideMark/>
          </w:tcPr>
          <w:p w14:paraId="21F10173" w14:textId="77777777" w:rsidR="004A282F" w:rsidRDefault="004A282F">
            <w:r>
              <w:t>15.0</w:t>
            </w:r>
          </w:p>
        </w:tc>
        <w:tc>
          <w:tcPr>
            <w:tcW w:w="0" w:type="auto"/>
            <w:vAlign w:val="center"/>
            <w:hideMark/>
          </w:tcPr>
          <w:p w14:paraId="35D169B3" w14:textId="77777777" w:rsidR="004A282F" w:rsidRDefault="004A282F">
            <w:r>
              <w:t>110</w:t>
            </w:r>
          </w:p>
        </w:tc>
        <w:tc>
          <w:tcPr>
            <w:tcW w:w="0" w:type="auto"/>
            <w:vAlign w:val="center"/>
            <w:hideMark/>
          </w:tcPr>
          <w:p w14:paraId="3DD0D876" w14:textId="77777777" w:rsidR="004A282F" w:rsidRDefault="004A282F">
            <w:r>
              <w:t>90</w:t>
            </w:r>
          </w:p>
        </w:tc>
        <w:tc>
          <w:tcPr>
            <w:tcW w:w="0" w:type="auto"/>
            <w:vAlign w:val="center"/>
            <w:hideMark/>
          </w:tcPr>
          <w:p w14:paraId="100CF7F1" w14:textId="77777777" w:rsidR="004A282F" w:rsidRDefault="004A282F">
            <w:r>
              <w:t>6.3</w:t>
            </w:r>
          </w:p>
        </w:tc>
      </w:tr>
      <w:tr w:rsidR="004A282F" w14:paraId="0648E7EA" w14:textId="77777777" w:rsidTr="004A282F">
        <w:trPr>
          <w:tblCellSpacing w:w="15" w:type="dxa"/>
        </w:trPr>
        <w:tc>
          <w:tcPr>
            <w:tcW w:w="0" w:type="auto"/>
            <w:vAlign w:val="center"/>
            <w:hideMark/>
          </w:tcPr>
          <w:p w14:paraId="336C56C8" w14:textId="77777777" w:rsidR="004A282F" w:rsidRDefault="004A282F">
            <w:r>
              <w:t>2018</w:t>
            </w:r>
          </w:p>
        </w:tc>
        <w:tc>
          <w:tcPr>
            <w:tcW w:w="0" w:type="auto"/>
            <w:vAlign w:val="center"/>
            <w:hideMark/>
          </w:tcPr>
          <w:p w14:paraId="5E49FF69" w14:textId="77777777" w:rsidR="004A282F" w:rsidRDefault="004A282F">
            <w:r>
              <w:t>11.5</w:t>
            </w:r>
          </w:p>
        </w:tc>
        <w:tc>
          <w:tcPr>
            <w:tcW w:w="0" w:type="auto"/>
            <w:vAlign w:val="center"/>
            <w:hideMark/>
          </w:tcPr>
          <w:p w14:paraId="57D8474B" w14:textId="77777777" w:rsidR="004A282F" w:rsidRDefault="004A282F">
            <w:r>
              <w:t>15.2</w:t>
            </w:r>
          </w:p>
        </w:tc>
        <w:tc>
          <w:tcPr>
            <w:tcW w:w="0" w:type="auto"/>
            <w:vAlign w:val="center"/>
            <w:hideMark/>
          </w:tcPr>
          <w:p w14:paraId="1F33F485" w14:textId="77777777" w:rsidR="004A282F" w:rsidRDefault="004A282F">
            <w:r>
              <w:t>120</w:t>
            </w:r>
          </w:p>
        </w:tc>
        <w:tc>
          <w:tcPr>
            <w:tcW w:w="0" w:type="auto"/>
            <w:vAlign w:val="center"/>
            <w:hideMark/>
          </w:tcPr>
          <w:p w14:paraId="273857DA" w14:textId="77777777" w:rsidR="004A282F" w:rsidRDefault="004A282F">
            <w:r>
              <w:t>95</w:t>
            </w:r>
          </w:p>
        </w:tc>
        <w:tc>
          <w:tcPr>
            <w:tcW w:w="0" w:type="auto"/>
            <w:vAlign w:val="center"/>
            <w:hideMark/>
          </w:tcPr>
          <w:p w14:paraId="378F0F40" w14:textId="77777777" w:rsidR="004A282F" w:rsidRDefault="004A282F">
            <w:r>
              <w:t>6.4</w:t>
            </w:r>
          </w:p>
        </w:tc>
      </w:tr>
      <w:tr w:rsidR="004A282F" w14:paraId="0AED6F60" w14:textId="77777777" w:rsidTr="004A282F">
        <w:trPr>
          <w:tblCellSpacing w:w="15" w:type="dxa"/>
        </w:trPr>
        <w:tc>
          <w:tcPr>
            <w:tcW w:w="0" w:type="auto"/>
            <w:vAlign w:val="center"/>
            <w:hideMark/>
          </w:tcPr>
          <w:p w14:paraId="35F5B16F" w14:textId="77777777" w:rsidR="004A282F" w:rsidRDefault="004A282F">
            <w:r>
              <w:t>2019</w:t>
            </w:r>
          </w:p>
        </w:tc>
        <w:tc>
          <w:tcPr>
            <w:tcW w:w="0" w:type="auto"/>
            <w:vAlign w:val="center"/>
            <w:hideMark/>
          </w:tcPr>
          <w:p w14:paraId="2DA4B65C" w14:textId="77777777" w:rsidR="004A282F" w:rsidRDefault="004A282F">
            <w:r>
              <w:t>11.8</w:t>
            </w:r>
          </w:p>
        </w:tc>
        <w:tc>
          <w:tcPr>
            <w:tcW w:w="0" w:type="auto"/>
            <w:vAlign w:val="center"/>
            <w:hideMark/>
          </w:tcPr>
          <w:p w14:paraId="22F4A264" w14:textId="77777777" w:rsidR="004A282F" w:rsidRDefault="004A282F">
            <w:r>
              <w:t>15.4</w:t>
            </w:r>
          </w:p>
        </w:tc>
        <w:tc>
          <w:tcPr>
            <w:tcW w:w="0" w:type="auto"/>
            <w:vAlign w:val="center"/>
            <w:hideMark/>
          </w:tcPr>
          <w:p w14:paraId="1E06AE4C" w14:textId="77777777" w:rsidR="004A282F" w:rsidRDefault="004A282F">
            <w:r>
              <w:t>125</w:t>
            </w:r>
          </w:p>
        </w:tc>
        <w:tc>
          <w:tcPr>
            <w:tcW w:w="0" w:type="auto"/>
            <w:vAlign w:val="center"/>
            <w:hideMark/>
          </w:tcPr>
          <w:p w14:paraId="01595688" w14:textId="77777777" w:rsidR="004A282F" w:rsidRDefault="004A282F">
            <w:r>
              <w:t>100</w:t>
            </w:r>
          </w:p>
        </w:tc>
        <w:tc>
          <w:tcPr>
            <w:tcW w:w="0" w:type="auto"/>
            <w:vAlign w:val="center"/>
            <w:hideMark/>
          </w:tcPr>
          <w:p w14:paraId="5B59465E" w14:textId="77777777" w:rsidR="004A282F" w:rsidRDefault="004A282F">
            <w:r>
              <w:t>6.5</w:t>
            </w:r>
          </w:p>
        </w:tc>
      </w:tr>
      <w:tr w:rsidR="004A282F" w14:paraId="188863E6" w14:textId="77777777" w:rsidTr="004A282F">
        <w:trPr>
          <w:tblCellSpacing w:w="15" w:type="dxa"/>
        </w:trPr>
        <w:tc>
          <w:tcPr>
            <w:tcW w:w="0" w:type="auto"/>
            <w:vAlign w:val="center"/>
            <w:hideMark/>
          </w:tcPr>
          <w:p w14:paraId="51D6720B" w14:textId="77777777" w:rsidR="004A282F" w:rsidRDefault="004A282F">
            <w:r>
              <w:t>2020</w:t>
            </w:r>
          </w:p>
        </w:tc>
        <w:tc>
          <w:tcPr>
            <w:tcW w:w="0" w:type="auto"/>
            <w:vAlign w:val="center"/>
            <w:hideMark/>
          </w:tcPr>
          <w:p w14:paraId="2AE1E45E" w14:textId="77777777" w:rsidR="004A282F" w:rsidRDefault="004A282F">
            <w:r>
              <w:t>12.0</w:t>
            </w:r>
          </w:p>
        </w:tc>
        <w:tc>
          <w:tcPr>
            <w:tcW w:w="0" w:type="auto"/>
            <w:vAlign w:val="center"/>
            <w:hideMark/>
          </w:tcPr>
          <w:p w14:paraId="3702B1DB" w14:textId="77777777" w:rsidR="004A282F" w:rsidRDefault="004A282F">
            <w:r>
              <w:t>15.5</w:t>
            </w:r>
          </w:p>
        </w:tc>
        <w:tc>
          <w:tcPr>
            <w:tcW w:w="0" w:type="auto"/>
            <w:vAlign w:val="center"/>
            <w:hideMark/>
          </w:tcPr>
          <w:p w14:paraId="7D6DF1E0" w14:textId="77777777" w:rsidR="004A282F" w:rsidRDefault="004A282F">
            <w:r>
              <w:t>130</w:t>
            </w:r>
          </w:p>
        </w:tc>
        <w:tc>
          <w:tcPr>
            <w:tcW w:w="0" w:type="auto"/>
            <w:vAlign w:val="center"/>
            <w:hideMark/>
          </w:tcPr>
          <w:p w14:paraId="7DE51DF9" w14:textId="77777777" w:rsidR="004A282F" w:rsidRDefault="004A282F">
            <w:r>
              <w:t>105</w:t>
            </w:r>
          </w:p>
        </w:tc>
        <w:tc>
          <w:tcPr>
            <w:tcW w:w="0" w:type="auto"/>
            <w:vAlign w:val="center"/>
            <w:hideMark/>
          </w:tcPr>
          <w:p w14:paraId="59BBE68C" w14:textId="77777777" w:rsidR="004A282F" w:rsidRDefault="004A282F">
            <w:r>
              <w:t>6.5</w:t>
            </w:r>
          </w:p>
        </w:tc>
      </w:tr>
      <w:tr w:rsidR="004A282F" w14:paraId="291051DC" w14:textId="77777777" w:rsidTr="004A282F">
        <w:trPr>
          <w:tblCellSpacing w:w="15" w:type="dxa"/>
        </w:trPr>
        <w:tc>
          <w:tcPr>
            <w:tcW w:w="0" w:type="auto"/>
            <w:vAlign w:val="center"/>
            <w:hideMark/>
          </w:tcPr>
          <w:p w14:paraId="436D3CA1" w14:textId="77777777" w:rsidR="004A282F" w:rsidRDefault="004A282F">
            <w:r>
              <w:t>2021</w:t>
            </w:r>
          </w:p>
        </w:tc>
        <w:tc>
          <w:tcPr>
            <w:tcW w:w="0" w:type="auto"/>
            <w:vAlign w:val="center"/>
            <w:hideMark/>
          </w:tcPr>
          <w:p w14:paraId="50BBD0AB" w14:textId="77777777" w:rsidR="004A282F" w:rsidRDefault="004A282F">
            <w:r>
              <w:t>12.2</w:t>
            </w:r>
          </w:p>
        </w:tc>
        <w:tc>
          <w:tcPr>
            <w:tcW w:w="0" w:type="auto"/>
            <w:vAlign w:val="center"/>
            <w:hideMark/>
          </w:tcPr>
          <w:p w14:paraId="50410457" w14:textId="77777777" w:rsidR="004A282F" w:rsidRDefault="004A282F">
            <w:r>
              <w:t>15.7</w:t>
            </w:r>
          </w:p>
        </w:tc>
        <w:tc>
          <w:tcPr>
            <w:tcW w:w="0" w:type="auto"/>
            <w:vAlign w:val="center"/>
            <w:hideMark/>
          </w:tcPr>
          <w:p w14:paraId="69505DBC" w14:textId="77777777" w:rsidR="004A282F" w:rsidRDefault="004A282F">
            <w:r>
              <w:t>135</w:t>
            </w:r>
          </w:p>
        </w:tc>
        <w:tc>
          <w:tcPr>
            <w:tcW w:w="0" w:type="auto"/>
            <w:vAlign w:val="center"/>
            <w:hideMark/>
          </w:tcPr>
          <w:p w14:paraId="4B28F739" w14:textId="77777777" w:rsidR="004A282F" w:rsidRDefault="004A282F">
            <w:r>
              <w:t>110</w:t>
            </w:r>
          </w:p>
        </w:tc>
        <w:tc>
          <w:tcPr>
            <w:tcW w:w="0" w:type="auto"/>
            <w:vAlign w:val="center"/>
            <w:hideMark/>
          </w:tcPr>
          <w:p w14:paraId="7DA11E32" w14:textId="77777777" w:rsidR="004A282F" w:rsidRDefault="004A282F">
            <w:r>
              <w:t>6.6</w:t>
            </w:r>
          </w:p>
        </w:tc>
      </w:tr>
      <w:tr w:rsidR="004A282F" w14:paraId="28AF920E" w14:textId="77777777" w:rsidTr="004A282F">
        <w:trPr>
          <w:tblCellSpacing w:w="15" w:type="dxa"/>
        </w:trPr>
        <w:tc>
          <w:tcPr>
            <w:tcW w:w="0" w:type="auto"/>
            <w:vAlign w:val="center"/>
            <w:hideMark/>
          </w:tcPr>
          <w:p w14:paraId="72213BC3" w14:textId="77777777" w:rsidR="004A282F" w:rsidRDefault="004A282F">
            <w:r>
              <w:t>2022</w:t>
            </w:r>
          </w:p>
        </w:tc>
        <w:tc>
          <w:tcPr>
            <w:tcW w:w="0" w:type="auto"/>
            <w:vAlign w:val="center"/>
            <w:hideMark/>
          </w:tcPr>
          <w:p w14:paraId="7FFE95AE" w14:textId="77777777" w:rsidR="004A282F" w:rsidRDefault="004A282F">
            <w:r>
              <w:t>12.4</w:t>
            </w:r>
          </w:p>
        </w:tc>
        <w:tc>
          <w:tcPr>
            <w:tcW w:w="0" w:type="auto"/>
            <w:vAlign w:val="center"/>
            <w:hideMark/>
          </w:tcPr>
          <w:p w14:paraId="64C13F80" w14:textId="77777777" w:rsidR="004A282F" w:rsidRDefault="004A282F">
            <w:r>
              <w:t>15.8</w:t>
            </w:r>
          </w:p>
        </w:tc>
        <w:tc>
          <w:tcPr>
            <w:tcW w:w="0" w:type="auto"/>
            <w:vAlign w:val="center"/>
            <w:hideMark/>
          </w:tcPr>
          <w:p w14:paraId="64AE051D" w14:textId="77777777" w:rsidR="004A282F" w:rsidRDefault="004A282F">
            <w:r>
              <w:t>140</w:t>
            </w:r>
          </w:p>
        </w:tc>
        <w:tc>
          <w:tcPr>
            <w:tcW w:w="0" w:type="auto"/>
            <w:vAlign w:val="center"/>
            <w:hideMark/>
          </w:tcPr>
          <w:p w14:paraId="03070DCB" w14:textId="77777777" w:rsidR="004A282F" w:rsidRDefault="004A282F">
            <w:r>
              <w:t>115</w:t>
            </w:r>
          </w:p>
        </w:tc>
        <w:tc>
          <w:tcPr>
            <w:tcW w:w="0" w:type="auto"/>
            <w:vAlign w:val="center"/>
            <w:hideMark/>
          </w:tcPr>
          <w:p w14:paraId="40A8D992" w14:textId="77777777" w:rsidR="004A282F" w:rsidRDefault="004A282F">
            <w:r>
              <w:t>6.7</w:t>
            </w:r>
          </w:p>
        </w:tc>
      </w:tr>
    </w:tbl>
    <w:p w14:paraId="7AEB7614" w14:textId="505C7987" w:rsidR="004A282F" w:rsidRPr="00EB5DE2" w:rsidRDefault="00EB5DE2" w:rsidP="00EB5DE2">
      <w:pPr>
        <w:spacing w:before="100" w:beforeAutospacing="1" w:after="100" w:afterAutospacing="1" w:line="240" w:lineRule="auto"/>
        <w:jc w:val="both"/>
        <w:rPr>
          <w:rFonts w:ascii="Times New Roman" w:hAnsi="Times New Roman" w:cs="Times New Roman"/>
          <w:b/>
          <w:sz w:val="24"/>
          <w:szCs w:val="24"/>
        </w:rPr>
      </w:pPr>
      <w:r w:rsidRPr="00EB5DE2">
        <w:rPr>
          <w:rFonts w:ascii="Times New Roman" w:hAnsi="Times New Roman" w:cs="Times New Roman"/>
          <w:b/>
          <w:sz w:val="24"/>
          <w:szCs w:val="24"/>
        </w:rPr>
        <w:t>Graphical Representation of data</w:t>
      </w:r>
    </w:p>
    <w:p w14:paraId="02826CA5" w14:textId="3C9BCAD9" w:rsidR="004A282F" w:rsidRDefault="004A282F" w:rsidP="004A28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6E26E5" wp14:editId="631FE5D8">
            <wp:extent cx="5578475" cy="2749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8475" cy="2749550"/>
                    </a:xfrm>
                    <a:prstGeom prst="rect">
                      <a:avLst/>
                    </a:prstGeom>
                    <a:noFill/>
                  </pic:spPr>
                </pic:pic>
              </a:graphicData>
            </a:graphic>
          </wp:inline>
        </w:drawing>
      </w:r>
    </w:p>
    <w:p w14:paraId="3FC1B642" w14:textId="0579CA23" w:rsidR="00EB5DE2" w:rsidRDefault="00EB5DE2" w:rsidP="004A282F">
      <w:pPr>
        <w:rPr>
          <w:rFonts w:ascii="Times New Roman" w:hAnsi="Times New Roman" w:cs="Times New Roman"/>
          <w:b/>
          <w:sz w:val="24"/>
          <w:szCs w:val="24"/>
        </w:rPr>
      </w:pPr>
    </w:p>
    <w:p w14:paraId="2C4C511F" w14:textId="06D0D2C7" w:rsidR="00EB5DE2" w:rsidRDefault="00EB5DE2" w:rsidP="004A282F">
      <w:pPr>
        <w:rPr>
          <w:rFonts w:ascii="Times New Roman" w:hAnsi="Times New Roman" w:cs="Times New Roman"/>
          <w:b/>
          <w:sz w:val="24"/>
          <w:szCs w:val="24"/>
        </w:rPr>
      </w:pPr>
    </w:p>
    <w:p w14:paraId="171304A0" w14:textId="77777777" w:rsidR="00EB5DE2" w:rsidRPr="00EB5DE2" w:rsidRDefault="00EB5DE2" w:rsidP="00EB5DE2">
      <w:pPr>
        <w:pStyle w:val="NormalWeb"/>
      </w:pPr>
      <w:r w:rsidRPr="00EB5DE2">
        <w:lastRenderedPageBreak/>
        <w:t>The table presents key financial metrics for U.S. banks over the past ten years, highlighting the impact of Basel III regulations on their financial health and stability. Here's a breakdown of each metric and its trends:</w:t>
      </w:r>
    </w:p>
    <w:p w14:paraId="4FA52E7D" w14:textId="77777777" w:rsidR="00EB5DE2" w:rsidRPr="00EB5DE2" w:rsidRDefault="00EB5DE2" w:rsidP="00EB5DE2">
      <w:pPr>
        <w:pStyle w:val="NormalWeb"/>
        <w:numPr>
          <w:ilvl w:val="0"/>
          <w:numId w:val="4"/>
        </w:numPr>
      </w:pPr>
      <w:r w:rsidRPr="00EB5DE2">
        <w:rPr>
          <w:rStyle w:val="Strong"/>
          <w:rFonts w:eastAsiaTheme="majorEastAsia"/>
        </w:rPr>
        <w:t>Common Equity Tier 1 (CET1) Ratio (%):</w:t>
      </w:r>
    </w:p>
    <w:p w14:paraId="0EF54C60"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Definition:</w:t>
      </w:r>
      <w:r w:rsidRPr="00EB5DE2">
        <w:rPr>
          <w:rFonts w:ascii="Times New Roman" w:hAnsi="Times New Roman" w:cs="Times New Roman"/>
          <w:sz w:val="24"/>
          <w:szCs w:val="24"/>
        </w:rPr>
        <w:t xml:space="preserve"> The CET1 ratio measures a bank's core equity capital compared to its total risk-weighted assets. It indicates the bank's ability to withstand financial distress.</w:t>
      </w:r>
    </w:p>
    <w:p w14:paraId="737FC5FB"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Trend:</w:t>
      </w:r>
      <w:r w:rsidRPr="00EB5DE2">
        <w:rPr>
          <w:rFonts w:ascii="Times New Roman" w:hAnsi="Times New Roman" w:cs="Times New Roman"/>
          <w:sz w:val="24"/>
          <w:szCs w:val="24"/>
        </w:rPr>
        <w:t xml:space="preserve"> The CET1 ratio has steadily increased from 10.2% in 2013 to 12.4% in 2022. This trend reflects improved capital adequacy and a stronger financial cushion to absorb potential losses.</w:t>
      </w:r>
    </w:p>
    <w:p w14:paraId="07DB167D" w14:textId="77777777" w:rsidR="00EB5DE2" w:rsidRPr="00EB5DE2" w:rsidRDefault="00EB5DE2" w:rsidP="00EB5DE2">
      <w:pPr>
        <w:pStyle w:val="NormalWeb"/>
        <w:numPr>
          <w:ilvl w:val="0"/>
          <w:numId w:val="4"/>
        </w:numPr>
      </w:pPr>
      <w:r w:rsidRPr="00EB5DE2">
        <w:rPr>
          <w:rStyle w:val="Strong"/>
          <w:rFonts w:eastAsiaTheme="majorEastAsia"/>
        </w:rPr>
        <w:t>Total Capital Ratio (%):</w:t>
      </w:r>
    </w:p>
    <w:p w14:paraId="7AFA66E3"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Definition:</w:t>
      </w:r>
      <w:r w:rsidRPr="00EB5DE2">
        <w:rPr>
          <w:rFonts w:ascii="Times New Roman" w:hAnsi="Times New Roman" w:cs="Times New Roman"/>
          <w:sz w:val="24"/>
          <w:szCs w:val="24"/>
        </w:rPr>
        <w:t xml:space="preserve"> The Total Capital Ratio compares a bank's total capital to its risk-weighted assets, encompassing both Tier 1 and Tier 2 capital.</w:t>
      </w:r>
    </w:p>
    <w:p w14:paraId="734A1C7B"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Trend:</w:t>
      </w:r>
      <w:r w:rsidRPr="00EB5DE2">
        <w:rPr>
          <w:rFonts w:ascii="Times New Roman" w:hAnsi="Times New Roman" w:cs="Times New Roman"/>
          <w:sz w:val="24"/>
          <w:szCs w:val="24"/>
        </w:rPr>
        <w:t xml:space="preserve"> This ratio has risen from 13.8% in 2013 to 15.8% in 2022, indicating an overall enhancement in the capital structure of U.S. banks, thus providing greater financial resilience.</w:t>
      </w:r>
    </w:p>
    <w:p w14:paraId="7D338AFF" w14:textId="77777777" w:rsidR="00EB5DE2" w:rsidRPr="00EB5DE2" w:rsidRDefault="00EB5DE2" w:rsidP="00EB5DE2">
      <w:pPr>
        <w:pStyle w:val="NormalWeb"/>
        <w:numPr>
          <w:ilvl w:val="0"/>
          <w:numId w:val="4"/>
        </w:numPr>
      </w:pPr>
      <w:r w:rsidRPr="00EB5DE2">
        <w:rPr>
          <w:rStyle w:val="Strong"/>
          <w:rFonts w:eastAsiaTheme="majorEastAsia"/>
        </w:rPr>
        <w:t>Liquidity Coverage Ratio (LCR) (%):</w:t>
      </w:r>
    </w:p>
    <w:p w14:paraId="3D6863A1"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Definition:</w:t>
      </w:r>
      <w:r w:rsidRPr="00EB5DE2">
        <w:rPr>
          <w:rFonts w:ascii="Times New Roman" w:hAnsi="Times New Roman" w:cs="Times New Roman"/>
          <w:sz w:val="24"/>
          <w:szCs w:val="24"/>
        </w:rPr>
        <w:t xml:space="preserve"> The LCR measures a bank's ability to meet short-term liquidity needs, requiring them to hold a sufficient stock of high-quality liquid assets to cover net cash outflows over a 30-day period.</w:t>
      </w:r>
    </w:p>
    <w:p w14:paraId="68C2EF3A"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Trend:</w:t>
      </w:r>
      <w:r w:rsidRPr="00EB5DE2">
        <w:rPr>
          <w:rFonts w:ascii="Times New Roman" w:hAnsi="Times New Roman" w:cs="Times New Roman"/>
          <w:sz w:val="24"/>
          <w:szCs w:val="24"/>
        </w:rPr>
        <w:t xml:space="preserve"> Starting from zero in 2013 (pre-implementation phase), the LCR has significantly increased to 140% by 2022. This increase demonstrates the banks' improved capacity to handle short-term liquidity stresses.</w:t>
      </w:r>
    </w:p>
    <w:p w14:paraId="196078D0" w14:textId="77777777" w:rsidR="00EB5DE2" w:rsidRPr="00EB5DE2" w:rsidRDefault="00EB5DE2" w:rsidP="00EB5DE2">
      <w:pPr>
        <w:pStyle w:val="NormalWeb"/>
        <w:numPr>
          <w:ilvl w:val="0"/>
          <w:numId w:val="4"/>
        </w:numPr>
      </w:pPr>
      <w:r w:rsidRPr="00EB5DE2">
        <w:rPr>
          <w:rStyle w:val="Strong"/>
          <w:rFonts w:eastAsiaTheme="majorEastAsia"/>
        </w:rPr>
        <w:t>Net Stable Funding Ratio (NSFR) (%):</w:t>
      </w:r>
    </w:p>
    <w:p w14:paraId="250776E4"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Definition:</w:t>
      </w:r>
      <w:r w:rsidRPr="00EB5DE2">
        <w:rPr>
          <w:rFonts w:ascii="Times New Roman" w:hAnsi="Times New Roman" w:cs="Times New Roman"/>
          <w:sz w:val="24"/>
          <w:szCs w:val="24"/>
        </w:rPr>
        <w:t xml:space="preserve"> The NSFR assesses a bank's ability to fund its activities with stable sources of funding over a one-year period.</w:t>
      </w:r>
    </w:p>
    <w:p w14:paraId="2A68CC91"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Trend:</w:t>
      </w:r>
      <w:r w:rsidRPr="00EB5DE2">
        <w:rPr>
          <w:rFonts w:ascii="Times New Roman" w:hAnsi="Times New Roman" w:cs="Times New Roman"/>
          <w:sz w:val="24"/>
          <w:szCs w:val="24"/>
        </w:rPr>
        <w:t xml:space="preserve"> The NSFR has progressively improved from 50% in 2014 (when tracking likely began) to 115% in 2022. This indicates better alignment of long-term assets with stable funding sources, reducing liquidity risk.</w:t>
      </w:r>
    </w:p>
    <w:p w14:paraId="117C91F2" w14:textId="77777777" w:rsidR="00EB5DE2" w:rsidRPr="00EB5DE2" w:rsidRDefault="00EB5DE2" w:rsidP="00EB5DE2">
      <w:pPr>
        <w:pStyle w:val="NormalWeb"/>
        <w:numPr>
          <w:ilvl w:val="0"/>
          <w:numId w:val="4"/>
        </w:numPr>
      </w:pPr>
      <w:r w:rsidRPr="00EB5DE2">
        <w:rPr>
          <w:rStyle w:val="Strong"/>
          <w:rFonts w:eastAsiaTheme="majorEastAsia"/>
        </w:rPr>
        <w:t>Leverage Ratio (%):</w:t>
      </w:r>
    </w:p>
    <w:p w14:paraId="72F7BE63"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Definition:</w:t>
      </w:r>
      <w:r w:rsidRPr="00EB5DE2">
        <w:rPr>
          <w:rFonts w:ascii="Times New Roman" w:hAnsi="Times New Roman" w:cs="Times New Roman"/>
          <w:sz w:val="24"/>
          <w:szCs w:val="24"/>
        </w:rPr>
        <w:t xml:space="preserve"> The leverage ratio is a measure of a bank's core capital relative to its total assets, not adjusted for risk. It serves as a backstop to the risk-based capital ratios.</w:t>
      </w:r>
    </w:p>
    <w:p w14:paraId="254FD520" w14:textId="77777777" w:rsidR="00EB5DE2" w:rsidRPr="00EB5DE2" w:rsidRDefault="00EB5DE2" w:rsidP="00EB5DE2">
      <w:pPr>
        <w:numPr>
          <w:ilvl w:val="1"/>
          <w:numId w:val="4"/>
        </w:numPr>
        <w:spacing w:before="100" w:beforeAutospacing="1" w:after="100" w:afterAutospacing="1" w:line="240" w:lineRule="auto"/>
        <w:rPr>
          <w:rFonts w:ascii="Times New Roman" w:hAnsi="Times New Roman" w:cs="Times New Roman"/>
          <w:sz w:val="24"/>
          <w:szCs w:val="24"/>
        </w:rPr>
      </w:pPr>
      <w:r w:rsidRPr="00EB5DE2">
        <w:rPr>
          <w:rStyle w:val="Strong"/>
          <w:rFonts w:ascii="Times New Roman" w:hAnsi="Times New Roman" w:cs="Times New Roman"/>
          <w:sz w:val="24"/>
          <w:szCs w:val="24"/>
        </w:rPr>
        <w:t>Trend:</w:t>
      </w:r>
      <w:r w:rsidRPr="00EB5DE2">
        <w:rPr>
          <w:rFonts w:ascii="Times New Roman" w:hAnsi="Times New Roman" w:cs="Times New Roman"/>
          <w:sz w:val="24"/>
          <w:szCs w:val="24"/>
        </w:rPr>
        <w:t xml:space="preserve"> The leverage ratio has increased from 5.5% in 2013 to 6.7% in 2022, suggesting that U.S. banks have consistently bolstered their capital levels relative to their total assets, enhancing their overall financial stability.</w:t>
      </w:r>
    </w:p>
    <w:p w14:paraId="02AFFB87" w14:textId="77777777" w:rsidR="00EB5DE2" w:rsidRPr="00EB5DE2" w:rsidRDefault="00EB5DE2" w:rsidP="00EB5DE2">
      <w:pPr>
        <w:pStyle w:val="Heading3"/>
        <w:rPr>
          <w:rFonts w:ascii="Times New Roman" w:hAnsi="Times New Roman" w:cs="Times New Roman"/>
          <w:b/>
          <w:color w:val="000000" w:themeColor="text1"/>
        </w:rPr>
      </w:pPr>
      <w:r w:rsidRPr="00EB5DE2">
        <w:rPr>
          <w:rFonts w:ascii="Times New Roman" w:hAnsi="Times New Roman" w:cs="Times New Roman"/>
          <w:b/>
          <w:color w:val="000000" w:themeColor="text1"/>
        </w:rPr>
        <w:t>Interpretation</w:t>
      </w:r>
    </w:p>
    <w:p w14:paraId="345127C9" w14:textId="77777777" w:rsidR="00EB5DE2" w:rsidRPr="00EB5DE2" w:rsidRDefault="00EB5DE2" w:rsidP="00EB5DE2">
      <w:pPr>
        <w:pStyle w:val="NormalWeb"/>
      </w:pPr>
      <w:r w:rsidRPr="00EB5DE2">
        <w:t>The upward trends in all these metrics indicate that U.S. banks have become more robust and better capitalized over the past decade. The improvements reflect the successful implementation of Basel III regulations, which aimed to strengthen the banking sector's capital base, improve liquidity management, and reduce leverage. These measures have collectively contributed to a more resilient banking system capable of withstanding financial shocks and ensuring stability in the broader financial system.</w:t>
      </w:r>
    </w:p>
    <w:p w14:paraId="27624393" w14:textId="60FE22A9" w:rsidR="00EB5DE2" w:rsidRDefault="00EB5DE2" w:rsidP="004A282F">
      <w:pPr>
        <w:rPr>
          <w:rFonts w:ascii="Times New Roman" w:hAnsi="Times New Roman" w:cs="Times New Roman"/>
          <w:b/>
          <w:sz w:val="24"/>
          <w:szCs w:val="24"/>
        </w:rPr>
      </w:pPr>
      <w:r w:rsidRPr="00EB5DE2">
        <w:rPr>
          <w:rFonts w:ascii="Times New Roman" w:hAnsi="Times New Roman" w:cs="Times New Roman"/>
          <w:b/>
          <w:sz w:val="24"/>
          <w:szCs w:val="24"/>
        </w:rPr>
        <w:lastRenderedPageBreak/>
        <w:t>Impact of COVID-19 on U.S. Banks' Financial Metrics (2019-2022)</w:t>
      </w:r>
    </w:p>
    <w:p w14:paraId="427FFFB6" w14:textId="77777777" w:rsidR="00EB5DE2" w:rsidRPr="00EB5DE2" w:rsidRDefault="00EB5DE2" w:rsidP="00EB5DE2">
      <w:pPr>
        <w:spacing w:before="100" w:beforeAutospacing="1" w:after="100" w:afterAutospacing="1"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The COVID-19 pandemic had a significant impact on the financial metrics of U.S. banks. Below is an analysis of key financial metrics during the pandemic period, supported by relevant data:</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754"/>
        <w:gridCol w:w="2507"/>
        <w:gridCol w:w="1027"/>
        <w:gridCol w:w="1147"/>
        <w:gridCol w:w="2111"/>
      </w:tblGrid>
      <w:tr w:rsidR="00EB5DE2" w:rsidRPr="00EB5DE2" w14:paraId="019CF7F4" w14:textId="77777777" w:rsidTr="00EB5DE2">
        <w:trPr>
          <w:tblHeader/>
          <w:tblCellSpacing w:w="15" w:type="dxa"/>
        </w:trPr>
        <w:tc>
          <w:tcPr>
            <w:tcW w:w="0" w:type="auto"/>
            <w:vAlign w:val="center"/>
            <w:hideMark/>
          </w:tcPr>
          <w:p w14:paraId="4381CD85"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Year</w:t>
            </w:r>
          </w:p>
        </w:tc>
        <w:tc>
          <w:tcPr>
            <w:tcW w:w="0" w:type="auto"/>
            <w:vAlign w:val="center"/>
            <w:hideMark/>
          </w:tcPr>
          <w:p w14:paraId="65B65070"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CET1 Ratio (%)</w:t>
            </w:r>
          </w:p>
        </w:tc>
        <w:tc>
          <w:tcPr>
            <w:tcW w:w="0" w:type="auto"/>
            <w:vAlign w:val="center"/>
            <w:hideMark/>
          </w:tcPr>
          <w:p w14:paraId="1E38D2D3"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Total Capital Ratio (%)</w:t>
            </w:r>
          </w:p>
        </w:tc>
        <w:tc>
          <w:tcPr>
            <w:tcW w:w="0" w:type="auto"/>
            <w:vAlign w:val="center"/>
            <w:hideMark/>
          </w:tcPr>
          <w:p w14:paraId="04FC9EFB"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LCR (%)</w:t>
            </w:r>
          </w:p>
        </w:tc>
        <w:tc>
          <w:tcPr>
            <w:tcW w:w="0" w:type="auto"/>
            <w:vAlign w:val="center"/>
            <w:hideMark/>
          </w:tcPr>
          <w:p w14:paraId="6A6BAABE"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NSFR (%)</w:t>
            </w:r>
          </w:p>
        </w:tc>
        <w:tc>
          <w:tcPr>
            <w:tcW w:w="0" w:type="auto"/>
            <w:vAlign w:val="center"/>
            <w:hideMark/>
          </w:tcPr>
          <w:p w14:paraId="3F8237A1" w14:textId="77777777" w:rsidR="00EB5DE2" w:rsidRPr="00EB5DE2" w:rsidRDefault="00EB5DE2" w:rsidP="00EB5DE2">
            <w:pPr>
              <w:spacing w:after="0" w:line="240" w:lineRule="auto"/>
              <w:jc w:val="center"/>
              <w:rPr>
                <w:rFonts w:ascii="Times New Roman" w:eastAsia="Times New Roman" w:hAnsi="Times New Roman" w:cs="Times New Roman"/>
                <w:b/>
                <w:bCs/>
                <w:sz w:val="24"/>
                <w:szCs w:val="24"/>
              </w:rPr>
            </w:pPr>
            <w:r w:rsidRPr="00EB5DE2">
              <w:rPr>
                <w:rFonts w:ascii="Times New Roman" w:eastAsia="Times New Roman" w:hAnsi="Times New Roman" w:cs="Times New Roman"/>
                <w:b/>
                <w:bCs/>
                <w:sz w:val="24"/>
                <w:szCs w:val="24"/>
              </w:rPr>
              <w:t>Leverage Ratio (%)</w:t>
            </w:r>
          </w:p>
        </w:tc>
      </w:tr>
      <w:tr w:rsidR="00EB5DE2" w:rsidRPr="00EB5DE2" w14:paraId="496B6C94" w14:textId="77777777" w:rsidTr="00EB5DE2">
        <w:trPr>
          <w:tblCellSpacing w:w="15" w:type="dxa"/>
        </w:trPr>
        <w:tc>
          <w:tcPr>
            <w:tcW w:w="0" w:type="auto"/>
            <w:vAlign w:val="center"/>
            <w:hideMark/>
          </w:tcPr>
          <w:p w14:paraId="7DE104A8"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2019</w:t>
            </w:r>
          </w:p>
        </w:tc>
        <w:tc>
          <w:tcPr>
            <w:tcW w:w="0" w:type="auto"/>
            <w:vAlign w:val="center"/>
            <w:hideMark/>
          </w:tcPr>
          <w:p w14:paraId="3C7CAA00"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11.7</w:t>
            </w:r>
          </w:p>
        </w:tc>
        <w:tc>
          <w:tcPr>
            <w:tcW w:w="0" w:type="auto"/>
            <w:vAlign w:val="center"/>
            <w:hideMark/>
          </w:tcPr>
          <w:p w14:paraId="1592A8E1"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15.2</w:t>
            </w:r>
          </w:p>
        </w:tc>
        <w:tc>
          <w:tcPr>
            <w:tcW w:w="0" w:type="auto"/>
            <w:vAlign w:val="center"/>
            <w:hideMark/>
          </w:tcPr>
          <w:p w14:paraId="36658247"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125</w:t>
            </w:r>
          </w:p>
        </w:tc>
        <w:tc>
          <w:tcPr>
            <w:tcW w:w="0" w:type="auto"/>
            <w:vAlign w:val="center"/>
            <w:hideMark/>
          </w:tcPr>
          <w:p w14:paraId="6F439CA8"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105</w:t>
            </w:r>
          </w:p>
        </w:tc>
        <w:tc>
          <w:tcPr>
            <w:tcW w:w="0" w:type="auto"/>
            <w:vAlign w:val="center"/>
            <w:hideMark/>
          </w:tcPr>
          <w:p w14:paraId="0FDDC216"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6.0</w:t>
            </w:r>
          </w:p>
        </w:tc>
      </w:tr>
      <w:tr w:rsidR="00EB5DE2" w:rsidRPr="00EB5DE2" w14:paraId="0FB4FD7B" w14:textId="77777777" w:rsidTr="00EB5DE2">
        <w:trPr>
          <w:tblCellSpacing w:w="15" w:type="dxa"/>
        </w:trPr>
        <w:tc>
          <w:tcPr>
            <w:tcW w:w="0" w:type="auto"/>
            <w:vAlign w:val="center"/>
            <w:hideMark/>
          </w:tcPr>
          <w:p w14:paraId="39315883"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2020</w:t>
            </w:r>
          </w:p>
        </w:tc>
        <w:tc>
          <w:tcPr>
            <w:tcW w:w="0" w:type="auto"/>
            <w:vAlign w:val="center"/>
            <w:hideMark/>
          </w:tcPr>
          <w:p w14:paraId="351D5EE6"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11.9</w:t>
            </w:r>
          </w:p>
        </w:tc>
        <w:tc>
          <w:tcPr>
            <w:tcW w:w="0" w:type="auto"/>
            <w:vAlign w:val="center"/>
            <w:hideMark/>
          </w:tcPr>
          <w:p w14:paraId="42CE7811"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15.4</w:t>
            </w:r>
          </w:p>
        </w:tc>
        <w:tc>
          <w:tcPr>
            <w:tcW w:w="0" w:type="auto"/>
            <w:vAlign w:val="center"/>
            <w:hideMark/>
          </w:tcPr>
          <w:p w14:paraId="05E10E34"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130</w:t>
            </w:r>
          </w:p>
        </w:tc>
        <w:tc>
          <w:tcPr>
            <w:tcW w:w="0" w:type="auto"/>
            <w:vAlign w:val="center"/>
            <w:hideMark/>
          </w:tcPr>
          <w:p w14:paraId="25EA9531"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110</w:t>
            </w:r>
          </w:p>
        </w:tc>
        <w:tc>
          <w:tcPr>
            <w:tcW w:w="0" w:type="auto"/>
            <w:vAlign w:val="center"/>
            <w:hideMark/>
          </w:tcPr>
          <w:p w14:paraId="336A4A66"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6.3</w:t>
            </w:r>
          </w:p>
        </w:tc>
      </w:tr>
      <w:tr w:rsidR="00EB5DE2" w:rsidRPr="00EB5DE2" w14:paraId="18BC5FCE" w14:textId="77777777" w:rsidTr="00EB5DE2">
        <w:trPr>
          <w:tblCellSpacing w:w="15" w:type="dxa"/>
        </w:trPr>
        <w:tc>
          <w:tcPr>
            <w:tcW w:w="0" w:type="auto"/>
            <w:vAlign w:val="center"/>
            <w:hideMark/>
          </w:tcPr>
          <w:p w14:paraId="2D6D03AB"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2021</w:t>
            </w:r>
          </w:p>
        </w:tc>
        <w:tc>
          <w:tcPr>
            <w:tcW w:w="0" w:type="auto"/>
            <w:vAlign w:val="center"/>
            <w:hideMark/>
          </w:tcPr>
          <w:p w14:paraId="4A328280"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12.1</w:t>
            </w:r>
          </w:p>
        </w:tc>
        <w:tc>
          <w:tcPr>
            <w:tcW w:w="0" w:type="auto"/>
            <w:vAlign w:val="center"/>
            <w:hideMark/>
          </w:tcPr>
          <w:p w14:paraId="0EC53801"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15.6</w:t>
            </w:r>
          </w:p>
        </w:tc>
        <w:tc>
          <w:tcPr>
            <w:tcW w:w="0" w:type="auto"/>
            <w:vAlign w:val="center"/>
            <w:hideMark/>
          </w:tcPr>
          <w:p w14:paraId="3F022720"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135</w:t>
            </w:r>
          </w:p>
        </w:tc>
        <w:tc>
          <w:tcPr>
            <w:tcW w:w="0" w:type="auto"/>
            <w:vAlign w:val="center"/>
            <w:hideMark/>
          </w:tcPr>
          <w:p w14:paraId="50A3C945"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112</w:t>
            </w:r>
          </w:p>
        </w:tc>
        <w:tc>
          <w:tcPr>
            <w:tcW w:w="0" w:type="auto"/>
            <w:vAlign w:val="center"/>
            <w:hideMark/>
          </w:tcPr>
          <w:p w14:paraId="366D4352"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6.5</w:t>
            </w:r>
          </w:p>
        </w:tc>
      </w:tr>
      <w:tr w:rsidR="00EB5DE2" w:rsidRPr="00EB5DE2" w14:paraId="2CD21925" w14:textId="77777777" w:rsidTr="00EB5DE2">
        <w:trPr>
          <w:tblCellSpacing w:w="15" w:type="dxa"/>
        </w:trPr>
        <w:tc>
          <w:tcPr>
            <w:tcW w:w="0" w:type="auto"/>
            <w:vAlign w:val="center"/>
            <w:hideMark/>
          </w:tcPr>
          <w:p w14:paraId="0DB43276"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2022</w:t>
            </w:r>
          </w:p>
        </w:tc>
        <w:tc>
          <w:tcPr>
            <w:tcW w:w="0" w:type="auto"/>
            <w:vAlign w:val="center"/>
            <w:hideMark/>
          </w:tcPr>
          <w:p w14:paraId="55009D6D"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12.4</w:t>
            </w:r>
          </w:p>
        </w:tc>
        <w:tc>
          <w:tcPr>
            <w:tcW w:w="0" w:type="auto"/>
            <w:vAlign w:val="center"/>
            <w:hideMark/>
          </w:tcPr>
          <w:p w14:paraId="13A44028"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15.8</w:t>
            </w:r>
          </w:p>
        </w:tc>
        <w:tc>
          <w:tcPr>
            <w:tcW w:w="0" w:type="auto"/>
            <w:vAlign w:val="center"/>
            <w:hideMark/>
          </w:tcPr>
          <w:p w14:paraId="1F3E050B"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140</w:t>
            </w:r>
          </w:p>
        </w:tc>
        <w:tc>
          <w:tcPr>
            <w:tcW w:w="0" w:type="auto"/>
            <w:vAlign w:val="center"/>
            <w:hideMark/>
          </w:tcPr>
          <w:p w14:paraId="2954278D"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115</w:t>
            </w:r>
          </w:p>
        </w:tc>
        <w:tc>
          <w:tcPr>
            <w:tcW w:w="0" w:type="auto"/>
            <w:vAlign w:val="center"/>
            <w:hideMark/>
          </w:tcPr>
          <w:p w14:paraId="1C7E1AAD" w14:textId="77777777" w:rsidR="00EB5DE2" w:rsidRPr="00EB5DE2" w:rsidRDefault="00EB5DE2" w:rsidP="00EB5DE2">
            <w:pPr>
              <w:spacing w:after="0" w:line="240" w:lineRule="auto"/>
              <w:rPr>
                <w:rFonts w:ascii="Times New Roman" w:eastAsia="Times New Roman" w:hAnsi="Times New Roman" w:cs="Times New Roman"/>
                <w:sz w:val="24"/>
                <w:szCs w:val="24"/>
              </w:rPr>
            </w:pPr>
            <w:r w:rsidRPr="00EB5DE2">
              <w:rPr>
                <w:rFonts w:ascii="Times New Roman" w:eastAsia="Times New Roman" w:hAnsi="Times New Roman" w:cs="Times New Roman"/>
                <w:sz w:val="24"/>
                <w:szCs w:val="24"/>
              </w:rPr>
              <w:t>6.7</w:t>
            </w:r>
          </w:p>
        </w:tc>
      </w:tr>
    </w:tbl>
    <w:p w14:paraId="10849F37" w14:textId="6449FAB2" w:rsidR="00EB5DE2" w:rsidRDefault="00EB5DE2" w:rsidP="004A282F">
      <w:pPr>
        <w:rPr>
          <w:rFonts w:ascii="Times New Roman" w:hAnsi="Times New Roman" w:cs="Times New Roman"/>
          <w:b/>
          <w:sz w:val="24"/>
          <w:szCs w:val="24"/>
        </w:rPr>
      </w:pPr>
    </w:p>
    <w:p w14:paraId="05236E9C" w14:textId="62EAF6C7" w:rsidR="00EB5DE2" w:rsidRDefault="00EB5DE2" w:rsidP="004A282F">
      <w:pPr>
        <w:rPr>
          <w:rFonts w:ascii="Times New Roman" w:hAnsi="Times New Roman" w:cs="Times New Roman"/>
          <w:b/>
          <w:sz w:val="24"/>
          <w:szCs w:val="24"/>
        </w:rPr>
      </w:pPr>
      <w:r>
        <w:rPr>
          <w:rFonts w:ascii="Times New Roman" w:hAnsi="Times New Roman" w:cs="Times New Roman"/>
          <w:b/>
          <w:sz w:val="24"/>
          <w:szCs w:val="24"/>
        </w:rPr>
        <w:t>Graphical Representation of data</w:t>
      </w:r>
    </w:p>
    <w:p w14:paraId="1354C54F" w14:textId="06AF2349" w:rsidR="00EB5DE2" w:rsidRDefault="00EB5DE2" w:rsidP="004A282F">
      <w:pPr>
        <w:rPr>
          <w:rFonts w:ascii="Times New Roman" w:hAnsi="Times New Roman" w:cs="Times New Roman"/>
          <w:b/>
          <w:sz w:val="24"/>
          <w:szCs w:val="24"/>
        </w:rPr>
      </w:pPr>
      <w:r>
        <w:rPr>
          <w:noProof/>
        </w:rPr>
        <w:drawing>
          <wp:inline distT="0" distB="0" distL="0" distR="0" wp14:anchorId="03A05B82" wp14:editId="39E32BB9">
            <wp:extent cx="4572000" cy="2743200"/>
            <wp:effectExtent l="0" t="0" r="0" b="0"/>
            <wp:docPr id="3" name="Chart 3">
              <a:extLst xmlns:a="http://schemas.openxmlformats.org/drawingml/2006/main">
                <a:ext uri="{FF2B5EF4-FFF2-40B4-BE49-F238E27FC236}">
                  <a16:creationId xmlns:a16="http://schemas.microsoft.com/office/drawing/2014/main" id="{A05B5AB3-91DC-48B3-96B6-4474D3231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D52CB1" w14:textId="77777777" w:rsidR="00EB5DE2" w:rsidRPr="00EB5DE2" w:rsidRDefault="00EB5DE2" w:rsidP="00EB5DE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EB5DE2">
        <w:rPr>
          <w:rFonts w:ascii="Times New Roman" w:eastAsia="Times New Roman" w:hAnsi="Times New Roman" w:cs="Times New Roman"/>
          <w:b/>
          <w:bCs/>
          <w:color w:val="000000" w:themeColor="text1"/>
          <w:sz w:val="24"/>
          <w:szCs w:val="24"/>
        </w:rPr>
        <w:t>Common Equity Tier 1 (CET1) Ratio</w:t>
      </w:r>
    </w:p>
    <w:p w14:paraId="572055EB" w14:textId="77777777" w:rsidR="00EB5DE2" w:rsidRPr="00EB5DE2" w:rsidRDefault="00EB5DE2" w:rsidP="00EB5DE2">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Trend During COVID-19:</w:t>
      </w:r>
      <w:r w:rsidRPr="00EB5DE2">
        <w:rPr>
          <w:rFonts w:ascii="Times New Roman" w:eastAsia="Times New Roman" w:hAnsi="Times New Roman" w:cs="Times New Roman"/>
          <w:color w:val="000000" w:themeColor="text1"/>
          <w:sz w:val="24"/>
          <w:szCs w:val="24"/>
        </w:rPr>
        <w:t xml:space="preserve"> The CET1 ratio increased from 11.7% in 2019 to 12.4% in 2022.</w:t>
      </w:r>
    </w:p>
    <w:p w14:paraId="0E8D0D7D" w14:textId="77777777" w:rsidR="00EB5DE2" w:rsidRPr="00EB5DE2" w:rsidRDefault="00EB5DE2" w:rsidP="00EB5DE2">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Interpretation:</w:t>
      </w:r>
      <w:r w:rsidRPr="00EB5DE2">
        <w:rPr>
          <w:rFonts w:ascii="Times New Roman" w:eastAsia="Times New Roman" w:hAnsi="Times New Roman" w:cs="Times New Roman"/>
          <w:color w:val="000000" w:themeColor="text1"/>
          <w:sz w:val="24"/>
          <w:szCs w:val="24"/>
        </w:rPr>
        <w:t xml:space="preserve"> Banks increased their core equity capital relative to risk-weighted assets to buffer against economic uncertainties and potential loan losses during the pandemic.</w:t>
      </w:r>
    </w:p>
    <w:p w14:paraId="544B2437" w14:textId="77777777" w:rsidR="00EB5DE2" w:rsidRPr="00EB5DE2" w:rsidRDefault="00EB5DE2" w:rsidP="00EB5DE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EB5DE2">
        <w:rPr>
          <w:rFonts w:ascii="Times New Roman" w:eastAsia="Times New Roman" w:hAnsi="Times New Roman" w:cs="Times New Roman"/>
          <w:b/>
          <w:bCs/>
          <w:color w:val="000000" w:themeColor="text1"/>
          <w:sz w:val="24"/>
          <w:szCs w:val="24"/>
        </w:rPr>
        <w:t>Total Capital Ratio</w:t>
      </w:r>
    </w:p>
    <w:p w14:paraId="61B92779" w14:textId="77777777" w:rsidR="00EB5DE2" w:rsidRPr="00EB5DE2" w:rsidRDefault="00EB5DE2" w:rsidP="00EB5DE2">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Trend During COVID-19:</w:t>
      </w:r>
      <w:r w:rsidRPr="00EB5DE2">
        <w:rPr>
          <w:rFonts w:ascii="Times New Roman" w:eastAsia="Times New Roman" w:hAnsi="Times New Roman" w:cs="Times New Roman"/>
          <w:color w:val="000000" w:themeColor="text1"/>
          <w:sz w:val="24"/>
          <w:szCs w:val="24"/>
        </w:rPr>
        <w:t xml:space="preserve"> The Total Capital Ratio grew from 15.2% in 2019 to 15.8% in 2022.</w:t>
      </w:r>
    </w:p>
    <w:p w14:paraId="172C3077" w14:textId="77777777" w:rsidR="00EB5DE2" w:rsidRPr="00EB5DE2" w:rsidRDefault="00EB5DE2" w:rsidP="00EB5DE2">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Interpretation:</w:t>
      </w:r>
      <w:r w:rsidRPr="00EB5DE2">
        <w:rPr>
          <w:rFonts w:ascii="Times New Roman" w:eastAsia="Times New Roman" w:hAnsi="Times New Roman" w:cs="Times New Roman"/>
          <w:color w:val="000000" w:themeColor="text1"/>
          <w:sz w:val="24"/>
          <w:szCs w:val="24"/>
        </w:rPr>
        <w:t xml:space="preserve"> Banks bolstered their overall capital, including Tier 1 and Tier 2 capital, to enhance their financial stability and resilience against the economic impacts of COVID-19.</w:t>
      </w:r>
    </w:p>
    <w:p w14:paraId="154C011A" w14:textId="77777777" w:rsidR="00EB5DE2" w:rsidRPr="00EB5DE2" w:rsidRDefault="00EB5DE2" w:rsidP="00EB5DE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EB5DE2">
        <w:rPr>
          <w:rFonts w:ascii="Times New Roman" w:eastAsia="Times New Roman" w:hAnsi="Times New Roman" w:cs="Times New Roman"/>
          <w:b/>
          <w:bCs/>
          <w:color w:val="000000" w:themeColor="text1"/>
          <w:sz w:val="24"/>
          <w:szCs w:val="24"/>
        </w:rPr>
        <w:lastRenderedPageBreak/>
        <w:t>Liquidity Coverage Ratio (LCR)</w:t>
      </w:r>
    </w:p>
    <w:p w14:paraId="1FD2FAF2" w14:textId="77777777" w:rsidR="00EB5DE2" w:rsidRPr="00EB5DE2" w:rsidRDefault="00EB5DE2" w:rsidP="00EB5DE2">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Trend During COVID-19:</w:t>
      </w:r>
      <w:r w:rsidRPr="00EB5DE2">
        <w:rPr>
          <w:rFonts w:ascii="Times New Roman" w:eastAsia="Times New Roman" w:hAnsi="Times New Roman" w:cs="Times New Roman"/>
          <w:color w:val="000000" w:themeColor="text1"/>
          <w:sz w:val="24"/>
          <w:szCs w:val="24"/>
        </w:rPr>
        <w:t xml:space="preserve"> The LCR rose from 125% in 2019 to 140% in 2022.</w:t>
      </w:r>
    </w:p>
    <w:p w14:paraId="7BF1C7BD" w14:textId="77777777" w:rsidR="00EB5DE2" w:rsidRPr="00EB5DE2" w:rsidRDefault="00EB5DE2" w:rsidP="00EB5DE2">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Interpretation:</w:t>
      </w:r>
      <w:r w:rsidRPr="00EB5DE2">
        <w:rPr>
          <w:rFonts w:ascii="Times New Roman" w:eastAsia="Times New Roman" w:hAnsi="Times New Roman" w:cs="Times New Roman"/>
          <w:color w:val="000000" w:themeColor="text1"/>
          <w:sz w:val="24"/>
          <w:szCs w:val="24"/>
        </w:rPr>
        <w:t xml:space="preserve"> Banks increased their holdings of high-quality liquid assets to ensure they could meet short-term liquidity needs, reflecting heightened focus on liquidity risk management during the pandemic.</w:t>
      </w:r>
    </w:p>
    <w:p w14:paraId="058895D9" w14:textId="77777777" w:rsidR="00EB5DE2" w:rsidRPr="00EB5DE2" w:rsidRDefault="00EB5DE2" w:rsidP="00EB5DE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EB5DE2">
        <w:rPr>
          <w:rFonts w:ascii="Times New Roman" w:eastAsia="Times New Roman" w:hAnsi="Times New Roman" w:cs="Times New Roman"/>
          <w:b/>
          <w:bCs/>
          <w:color w:val="000000" w:themeColor="text1"/>
          <w:sz w:val="24"/>
          <w:szCs w:val="24"/>
        </w:rPr>
        <w:t>Net Stable Funding Ratio (NSFR)</w:t>
      </w:r>
    </w:p>
    <w:p w14:paraId="63E966CB" w14:textId="77777777" w:rsidR="00EB5DE2" w:rsidRPr="00EB5DE2" w:rsidRDefault="00EB5DE2" w:rsidP="00EB5DE2">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Trend During COVID-19:</w:t>
      </w:r>
      <w:r w:rsidRPr="00EB5DE2">
        <w:rPr>
          <w:rFonts w:ascii="Times New Roman" w:eastAsia="Times New Roman" w:hAnsi="Times New Roman" w:cs="Times New Roman"/>
          <w:color w:val="000000" w:themeColor="text1"/>
          <w:sz w:val="24"/>
          <w:szCs w:val="24"/>
        </w:rPr>
        <w:t xml:space="preserve"> The NSFR improved from 105% in 2019 to 115% in 2022.</w:t>
      </w:r>
    </w:p>
    <w:p w14:paraId="0C196619" w14:textId="77777777" w:rsidR="00EB5DE2" w:rsidRPr="00EB5DE2" w:rsidRDefault="00EB5DE2" w:rsidP="00EB5DE2">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Interpretation:</w:t>
      </w:r>
      <w:r w:rsidRPr="00EB5DE2">
        <w:rPr>
          <w:rFonts w:ascii="Times New Roman" w:eastAsia="Times New Roman" w:hAnsi="Times New Roman" w:cs="Times New Roman"/>
          <w:color w:val="000000" w:themeColor="text1"/>
          <w:sz w:val="24"/>
          <w:szCs w:val="24"/>
        </w:rPr>
        <w:t xml:space="preserve"> Banks enhanced their funding stability, ensuring they had sufficient stable funding to cover their longer-term assets, thus reducing funding risks during the prolonged economic disruption caused by COVID-19.</w:t>
      </w:r>
    </w:p>
    <w:p w14:paraId="456E7338" w14:textId="77777777" w:rsidR="00EB5DE2" w:rsidRPr="00EB5DE2" w:rsidRDefault="00EB5DE2" w:rsidP="00EB5DE2">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EB5DE2">
        <w:rPr>
          <w:rFonts w:ascii="Times New Roman" w:eastAsia="Times New Roman" w:hAnsi="Times New Roman" w:cs="Times New Roman"/>
          <w:b/>
          <w:bCs/>
          <w:color w:val="000000" w:themeColor="text1"/>
          <w:sz w:val="24"/>
          <w:szCs w:val="24"/>
        </w:rPr>
        <w:t>Leverage Ratio</w:t>
      </w:r>
    </w:p>
    <w:p w14:paraId="394716A4" w14:textId="77777777" w:rsidR="00EB5DE2" w:rsidRPr="00EB5DE2" w:rsidRDefault="00EB5DE2" w:rsidP="00EB5DE2">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Trend During COVID-19:</w:t>
      </w:r>
      <w:r w:rsidRPr="00EB5DE2">
        <w:rPr>
          <w:rFonts w:ascii="Times New Roman" w:eastAsia="Times New Roman" w:hAnsi="Times New Roman" w:cs="Times New Roman"/>
          <w:color w:val="000000" w:themeColor="text1"/>
          <w:sz w:val="24"/>
          <w:szCs w:val="24"/>
        </w:rPr>
        <w:t xml:space="preserve"> The Leverage Ratio increased from 6.0% in 2019 to 6.7% in 2022.</w:t>
      </w:r>
    </w:p>
    <w:p w14:paraId="773C6F9C" w14:textId="77777777" w:rsidR="00EB5DE2" w:rsidRPr="00EB5DE2" w:rsidRDefault="00EB5DE2" w:rsidP="00EB5DE2">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B5DE2">
        <w:rPr>
          <w:rFonts w:ascii="Times New Roman" w:eastAsia="Times New Roman" w:hAnsi="Times New Roman" w:cs="Times New Roman"/>
          <w:b/>
          <w:bCs/>
          <w:color w:val="000000" w:themeColor="text1"/>
          <w:sz w:val="24"/>
          <w:szCs w:val="24"/>
        </w:rPr>
        <w:t>Interpretation:</w:t>
      </w:r>
      <w:r w:rsidRPr="00EB5DE2">
        <w:rPr>
          <w:rFonts w:ascii="Times New Roman" w:eastAsia="Times New Roman" w:hAnsi="Times New Roman" w:cs="Times New Roman"/>
          <w:color w:val="000000" w:themeColor="text1"/>
          <w:sz w:val="24"/>
          <w:szCs w:val="24"/>
        </w:rPr>
        <w:t xml:space="preserve"> Banks strengthened their capital positions relative to total assets, not just risk-weighted assets, to provide a robust buffer against potential losses and to maintain financial stability during the economic uncertainty of the pandemic.</w:t>
      </w:r>
    </w:p>
    <w:p w14:paraId="7123AD98" w14:textId="77777777" w:rsidR="00EB5DE2" w:rsidRPr="00EB5DE2" w:rsidRDefault="00EB5DE2" w:rsidP="00EB5DE2">
      <w:pPr>
        <w:pStyle w:val="Heading3"/>
        <w:jc w:val="both"/>
        <w:rPr>
          <w:rFonts w:ascii="Times New Roman" w:hAnsi="Times New Roman" w:cs="Times New Roman"/>
          <w:color w:val="000000" w:themeColor="text1"/>
        </w:rPr>
      </w:pPr>
      <w:r w:rsidRPr="00EB5DE2">
        <w:rPr>
          <w:rFonts w:ascii="Times New Roman" w:hAnsi="Times New Roman" w:cs="Times New Roman"/>
          <w:color w:val="000000" w:themeColor="text1"/>
        </w:rPr>
        <w:t>Key Takeaways</w:t>
      </w:r>
    </w:p>
    <w:p w14:paraId="00C78B98" w14:textId="77777777" w:rsidR="00EB5DE2" w:rsidRPr="00EB5DE2" w:rsidRDefault="00EB5DE2" w:rsidP="00EB5DE2">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EB5DE2">
        <w:rPr>
          <w:rStyle w:val="Strong"/>
          <w:rFonts w:ascii="Times New Roman" w:hAnsi="Times New Roman" w:cs="Times New Roman"/>
          <w:color w:val="000000" w:themeColor="text1"/>
          <w:sz w:val="24"/>
          <w:szCs w:val="24"/>
        </w:rPr>
        <w:t>Increased Capital Reserves:</w:t>
      </w:r>
      <w:r w:rsidRPr="00EB5DE2">
        <w:rPr>
          <w:rFonts w:ascii="Times New Roman" w:hAnsi="Times New Roman" w:cs="Times New Roman"/>
          <w:color w:val="000000" w:themeColor="text1"/>
          <w:sz w:val="24"/>
          <w:szCs w:val="24"/>
        </w:rPr>
        <w:t xml:space="preserve"> U.S. banks raised their CET1 and Total Capital Ratios to enhance their ability to absorb potential losses, reflecting a cautious and prudent approach in response to the pandemic.</w:t>
      </w:r>
    </w:p>
    <w:p w14:paraId="024304F0" w14:textId="77777777" w:rsidR="00EB5DE2" w:rsidRPr="00EB5DE2" w:rsidRDefault="00EB5DE2" w:rsidP="00EB5DE2">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EB5DE2">
        <w:rPr>
          <w:rStyle w:val="Strong"/>
          <w:rFonts w:ascii="Times New Roman" w:hAnsi="Times New Roman" w:cs="Times New Roman"/>
          <w:color w:val="000000" w:themeColor="text1"/>
          <w:sz w:val="24"/>
          <w:szCs w:val="24"/>
        </w:rPr>
        <w:t>Improved Liquidity Management:</w:t>
      </w:r>
      <w:r w:rsidRPr="00EB5DE2">
        <w:rPr>
          <w:rFonts w:ascii="Times New Roman" w:hAnsi="Times New Roman" w:cs="Times New Roman"/>
          <w:color w:val="000000" w:themeColor="text1"/>
          <w:sz w:val="24"/>
          <w:szCs w:val="24"/>
        </w:rPr>
        <w:t xml:space="preserve"> The LCR and NSFR improvements indicate a strong focus on maintaining liquidity and stable funding, ensuring banks could meet both short-term and long-term obligations during the economic disruption.</w:t>
      </w:r>
    </w:p>
    <w:p w14:paraId="60211FF0" w14:textId="77777777" w:rsidR="00EB5DE2" w:rsidRPr="00EB5DE2" w:rsidRDefault="00EB5DE2" w:rsidP="00EB5DE2">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EB5DE2">
        <w:rPr>
          <w:rStyle w:val="Strong"/>
          <w:rFonts w:ascii="Times New Roman" w:hAnsi="Times New Roman" w:cs="Times New Roman"/>
          <w:color w:val="000000" w:themeColor="text1"/>
          <w:sz w:val="24"/>
          <w:szCs w:val="24"/>
        </w:rPr>
        <w:t>Enhanced Leverage Ratio:</w:t>
      </w:r>
      <w:r w:rsidRPr="00EB5DE2">
        <w:rPr>
          <w:rFonts w:ascii="Times New Roman" w:hAnsi="Times New Roman" w:cs="Times New Roman"/>
          <w:color w:val="000000" w:themeColor="text1"/>
          <w:sz w:val="24"/>
          <w:szCs w:val="24"/>
        </w:rPr>
        <w:t xml:space="preserve"> The increase in the leverage ratio suggests that banks maintained a healthy level of capital relative to their total assets, providing an additional layer of financial stability.</w:t>
      </w:r>
    </w:p>
    <w:p w14:paraId="71D31ABA" w14:textId="77777777" w:rsidR="00EB5DE2" w:rsidRPr="00EB5DE2" w:rsidRDefault="00EB5DE2" w:rsidP="00EB5DE2">
      <w:pPr>
        <w:pStyle w:val="Heading3"/>
        <w:jc w:val="both"/>
        <w:rPr>
          <w:rFonts w:ascii="Times New Roman" w:hAnsi="Times New Roman" w:cs="Times New Roman"/>
          <w:color w:val="000000" w:themeColor="text1"/>
        </w:rPr>
      </w:pPr>
      <w:r w:rsidRPr="00EB5DE2">
        <w:rPr>
          <w:rFonts w:ascii="Times New Roman" w:hAnsi="Times New Roman" w:cs="Times New Roman"/>
          <w:color w:val="000000" w:themeColor="text1"/>
        </w:rPr>
        <w:t>Conclusion</w:t>
      </w:r>
    </w:p>
    <w:p w14:paraId="4AB54FAD" w14:textId="77777777" w:rsidR="00EB5DE2" w:rsidRDefault="00EB5DE2" w:rsidP="00EB5DE2">
      <w:pPr>
        <w:pStyle w:val="NormalWeb"/>
        <w:jc w:val="both"/>
      </w:pPr>
      <w:r w:rsidRPr="00EB5DE2">
        <w:rPr>
          <w:color w:val="000000" w:themeColor="text1"/>
        </w:rPr>
        <w:t>The data indicates that U.S. banks res</w:t>
      </w:r>
      <w:bookmarkStart w:id="0" w:name="_GoBack"/>
      <w:bookmarkEnd w:id="0"/>
      <w:r w:rsidRPr="00EB5DE2">
        <w:rPr>
          <w:color w:val="000000" w:themeColor="text1"/>
        </w:rPr>
        <w:t>ponded to the COVID-19 pandemic by strengthening their capital and liquidity positions, ensuring they could weather the economic uncertainties and support the broader economy during a period of significant financial stress. These measures reflect the successful implementation of regulatory frameworks like Basel III, which aimed to enhance the resilience of the banking sector.</w:t>
      </w:r>
    </w:p>
    <w:p w14:paraId="07E968F0" w14:textId="77777777" w:rsidR="00EB5DE2" w:rsidRPr="00EB5DE2" w:rsidRDefault="00EB5DE2" w:rsidP="004A282F">
      <w:pPr>
        <w:rPr>
          <w:rFonts w:ascii="Times New Roman" w:hAnsi="Times New Roman" w:cs="Times New Roman"/>
          <w:b/>
          <w:sz w:val="24"/>
          <w:szCs w:val="24"/>
        </w:rPr>
      </w:pPr>
    </w:p>
    <w:sectPr w:rsidR="00EB5DE2" w:rsidRPr="00EB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42BAC"/>
    <w:multiLevelType w:val="multilevel"/>
    <w:tmpl w:val="56B03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E3888"/>
    <w:multiLevelType w:val="multilevel"/>
    <w:tmpl w:val="038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E427B"/>
    <w:multiLevelType w:val="multilevel"/>
    <w:tmpl w:val="53C8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7682B"/>
    <w:multiLevelType w:val="multilevel"/>
    <w:tmpl w:val="304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C3F27"/>
    <w:multiLevelType w:val="multilevel"/>
    <w:tmpl w:val="068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704DB"/>
    <w:multiLevelType w:val="multilevel"/>
    <w:tmpl w:val="F1AAA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40DD1"/>
    <w:multiLevelType w:val="multilevel"/>
    <w:tmpl w:val="78C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94B21"/>
    <w:multiLevelType w:val="hybridMultilevel"/>
    <w:tmpl w:val="FAECE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1146B9"/>
    <w:multiLevelType w:val="multilevel"/>
    <w:tmpl w:val="BACA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9630C"/>
    <w:multiLevelType w:val="multilevel"/>
    <w:tmpl w:val="077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9"/>
  </w:num>
  <w:num w:numId="6">
    <w:abstractNumId w:val="4"/>
  </w:num>
  <w:num w:numId="7">
    <w:abstractNumId w:val="8"/>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2F"/>
    <w:rsid w:val="000D6FF0"/>
    <w:rsid w:val="00324E41"/>
    <w:rsid w:val="004A282F"/>
    <w:rsid w:val="00EB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B011"/>
  <w15:chartTrackingRefBased/>
  <w15:docId w15:val="{3226EA33-F2E5-4047-AF59-6C001C6E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2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28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A28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28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2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A282F"/>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4A282F"/>
    <w:rPr>
      <w:b/>
      <w:bCs/>
    </w:rPr>
  </w:style>
  <w:style w:type="character" w:customStyle="1" w:styleId="Heading3Char">
    <w:name w:val="Heading 3 Char"/>
    <w:basedOn w:val="DefaultParagraphFont"/>
    <w:link w:val="Heading3"/>
    <w:uiPriority w:val="9"/>
    <w:semiHidden/>
    <w:rsid w:val="004A28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0807">
      <w:bodyDiv w:val="1"/>
      <w:marLeft w:val="0"/>
      <w:marRight w:val="0"/>
      <w:marTop w:val="0"/>
      <w:marBottom w:val="0"/>
      <w:divBdr>
        <w:top w:val="none" w:sz="0" w:space="0" w:color="auto"/>
        <w:left w:val="none" w:sz="0" w:space="0" w:color="auto"/>
        <w:bottom w:val="none" w:sz="0" w:space="0" w:color="auto"/>
        <w:right w:val="none" w:sz="0" w:space="0" w:color="auto"/>
      </w:divBdr>
    </w:div>
    <w:div w:id="323167152">
      <w:bodyDiv w:val="1"/>
      <w:marLeft w:val="0"/>
      <w:marRight w:val="0"/>
      <w:marTop w:val="0"/>
      <w:marBottom w:val="0"/>
      <w:divBdr>
        <w:top w:val="none" w:sz="0" w:space="0" w:color="auto"/>
        <w:left w:val="none" w:sz="0" w:space="0" w:color="auto"/>
        <w:bottom w:val="none" w:sz="0" w:space="0" w:color="auto"/>
        <w:right w:val="none" w:sz="0" w:space="0" w:color="auto"/>
      </w:divBdr>
    </w:div>
    <w:div w:id="576522909">
      <w:bodyDiv w:val="1"/>
      <w:marLeft w:val="0"/>
      <w:marRight w:val="0"/>
      <w:marTop w:val="0"/>
      <w:marBottom w:val="0"/>
      <w:divBdr>
        <w:top w:val="none" w:sz="0" w:space="0" w:color="auto"/>
        <w:left w:val="none" w:sz="0" w:space="0" w:color="auto"/>
        <w:bottom w:val="none" w:sz="0" w:space="0" w:color="auto"/>
        <w:right w:val="none" w:sz="0" w:space="0" w:color="auto"/>
      </w:divBdr>
    </w:div>
    <w:div w:id="584652044">
      <w:bodyDiv w:val="1"/>
      <w:marLeft w:val="0"/>
      <w:marRight w:val="0"/>
      <w:marTop w:val="0"/>
      <w:marBottom w:val="0"/>
      <w:divBdr>
        <w:top w:val="none" w:sz="0" w:space="0" w:color="auto"/>
        <w:left w:val="none" w:sz="0" w:space="0" w:color="auto"/>
        <w:bottom w:val="none" w:sz="0" w:space="0" w:color="auto"/>
        <w:right w:val="none" w:sz="0" w:space="0" w:color="auto"/>
      </w:divBdr>
    </w:div>
    <w:div w:id="1041974437">
      <w:bodyDiv w:val="1"/>
      <w:marLeft w:val="0"/>
      <w:marRight w:val="0"/>
      <w:marTop w:val="0"/>
      <w:marBottom w:val="0"/>
      <w:divBdr>
        <w:top w:val="none" w:sz="0" w:space="0" w:color="auto"/>
        <w:left w:val="none" w:sz="0" w:space="0" w:color="auto"/>
        <w:bottom w:val="none" w:sz="0" w:space="0" w:color="auto"/>
        <w:right w:val="none" w:sz="0" w:space="0" w:color="auto"/>
      </w:divBdr>
    </w:div>
    <w:div w:id="1601722995">
      <w:bodyDiv w:val="1"/>
      <w:marLeft w:val="0"/>
      <w:marRight w:val="0"/>
      <w:marTop w:val="0"/>
      <w:marBottom w:val="0"/>
      <w:divBdr>
        <w:top w:val="none" w:sz="0" w:space="0" w:color="auto"/>
        <w:left w:val="none" w:sz="0" w:space="0" w:color="auto"/>
        <w:bottom w:val="none" w:sz="0" w:space="0" w:color="auto"/>
        <w:right w:val="none" w:sz="0" w:space="0" w:color="auto"/>
      </w:divBdr>
    </w:div>
    <w:div w:id="2094424494">
      <w:bodyDiv w:val="1"/>
      <w:marLeft w:val="0"/>
      <w:marRight w:val="0"/>
      <w:marTop w:val="0"/>
      <w:marBottom w:val="0"/>
      <w:divBdr>
        <w:top w:val="none" w:sz="0" w:space="0" w:color="auto"/>
        <w:left w:val="none" w:sz="0" w:space="0" w:color="auto"/>
        <w:bottom w:val="none" w:sz="0" w:space="0" w:color="auto"/>
        <w:right w:val="none" w:sz="0" w:space="0" w:color="auto"/>
      </w:divBdr>
    </w:div>
    <w:div w:id="21390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Sheet1!$A$16</c:f>
              <c:strCache>
                <c:ptCount val="1"/>
                <c:pt idx="0">
                  <c:v>2019</c:v>
                </c:pt>
              </c:strCache>
            </c:strRef>
          </c:tx>
          <c:spPr>
            <a:solidFill>
              <a:schemeClr val="accent1"/>
            </a:solidFill>
            <a:ln>
              <a:noFill/>
            </a:ln>
            <a:effectLst/>
          </c:spPr>
          <c:invertIfNegative val="0"/>
          <c:cat>
            <c:strRef>
              <c:f>Sheet1!$B$15:$F$15</c:f>
              <c:strCache>
                <c:ptCount val="5"/>
                <c:pt idx="0">
                  <c:v>CET1 Ratio (%)</c:v>
                </c:pt>
                <c:pt idx="1">
                  <c:v>Total Capital Ratio (%)</c:v>
                </c:pt>
                <c:pt idx="2">
                  <c:v>LCR (%)</c:v>
                </c:pt>
                <c:pt idx="3">
                  <c:v>NSFR (%)</c:v>
                </c:pt>
                <c:pt idx="4">
                  <c:v>Leverage Ratio (%)</c:v>
                </c:pt>
              </c:strCache>
            </c:strRef>
          </c:cat>
          <c:val>
            <c:numRef>
              <c:f>Sheet1!$B$16:$F$16</c:f>
              <c:numCache>
                <c:formatCode>General</c:formatCode>
                <c:ptCount val="5"/>
                <c:pt idx="0">
                  <c:v>11.7</c:v>
                </c:pt>
                <c:pt idx="1">
                  <c:v>15.2</c:v>
                </c:pt>
                <c:pt idx="2">
                  <c:v>125</c:v>
                </c:pt>
                <c:pt idx="3">
                  <c:v>105</c:v>
                </c:pt>
                <c:pt idx="4">
                  <c:v>6</c:v>
                </c:pt>
              </c:numCache>
            </c:numRef>
          </c:val>
          <c:extLst>
            <c:ext xmlns:c16="http://schemas.microsoft.com/office/drawing/2014/chart" uri="{C3380CC4-5D6E-409C-BE32-E72D297353CC}">
              <c16:uniqueId val="{00000000-953C-46FE-B1EE-F6ED4F28C585}"/>
            </c:ext>
          </c:extLst>
        </c:ser>
        <c:ser>
          <c:idx val="1"/>
          <c:order val="1"/>
          <c:tx>
            <c:strRef>
              <c:f>Sheet1!$A$17</c:f>
              <c:strCache>
                <c:ptCount val="1"/>
                <c:pt idx="0">
                  <c:v>2020</c:v>
                </c:pt>
              </c:strCache>
            </c:strRef>
          </c:tx>
          <c:spPr>
            <a:solidFill>
              <a:schemeClr val="accent2"/>
            </a:solidFill>
            <a:ln>
              <a:noFill/>
            </a:ln>
            <a:effectLst/>
          </c:spPr>
          <c:invertIfNegative val="0"/>
          <c:cat>
            <c:strRef>
              <c:f>Sheet1!$B$15:$F$15</c:f>
              <c:strCache>
                <c:ptCount val="5"/>
                <c:pt idx="0">
                  <c:v>CET1 Ratio (%)</c:v>
                </c:pt>
                <c:pt idx="1">
                  <c:v>Total Capital Ratio (%)</c:v>
                </c:pt>
                <c:pt idx="2">
                  <c:v>LCR (%)</c:v>
                </c:pt>
                <c:pt idx="3">
                  <c:v>NSFR (%)</c:v>
                </c:pt>
                <c:pt idx="4">
                  <c:v>Leverage Ratio (%)</c:v>
                </c:pt>
              </c:strCache>
            </c:strRef>
          </c:cat>
          <c:val>
            <c:numRef>
              <c:f>Sheet1!$B$17:$F$17</c:f>
              <c:numCache>
                <c:formatCode>General</c:formatCode>
                <c:ptCount val="5"/>
                <c:pt idx="0">
                  <c:v>11.9</c:v>
                </c:pt>
                <c:pt idx="1">
                  <c:v>15.4</c:v>
                </c:pt>
                <c:pt idx="2">
                  <c:v>130</c:v>
                </c:pt>
                <c:pt idx="3">
                  <c:v>110</c:v>
                </c:pt>
                <c:pt idx="4">
                  <c:v>6.3</c:v>
                </c:pt>
              </c:numCache>
            </c:numRef>
          </c:val>
          <c:extLst>
            <c:ext xmlns:c16="http://schemas.microsoft.com/office/drawing/2014/chart" uri="{C3380CC4-5D6E-409C-BE32-E72D297353CC}">
              <c16:uniqueId val="{00000001-953C-46FE-B1EE-F6ED4F28C585}"/>
            </c:ext>
          </c:extLst>
        </c:ser>
        <c:ser>
          <c:idx val="2"/>
          <c:order val="2"/>
          <c:tx>
            <c:strRef>
              <c:f>Sheet1!$A$18</c:f>
              <c:strCache>
                <c:ptCount val="1"/>
                <c:pt idx="0">
                  <c:v>2021</c:v>
                </c:pt>
              </c:strCache>
            </c:strRef>
          </c:tx>
          <c:spPr>
            <a:solidFill>
              <a:schemeClr val="accent3"/>
            </a:solidFill>
            <a:ln>
              <a:noFill/>
            </a:ln>
            <a:effectLst/>
          </c:spPr>
          <c:invertIfNegative val="0"/>
          <c:cat>
            <c:strRef>
              <c:f>Sheet1!$B$15:$F$15</c:f>
              <c:strCache>
                <c:ptCount val="5"/>
                <c:pt idx="0">
                  <c:v>CET1 Ratio (%)</c:v>
                </c:pt>
                <c:pt idx="1">
                  <c:v>Total Capital Ratio (%)</c:v>
                </c:pt>
                <c:pt idx="2">
                  <c:v>LCR (%)</c:v>
                </c:pt>
                <c:pt idx="3">
                  <c:v>NSFR (%)</c:v>
                </c:pt>
                <c:pt idx="4">
                  <c:v>Leverage Ratio (%)</c:v>
                </c:pt>
              </c:strCache>
            </c:strRef>
          </c:cat>
          <c:val>
            <c:numRef>
              <c:f>Sheet1!$B$18:$F$18</c:f>
              <c:numCache>
                <c:formatCode>General</c:formatCode>
                <c:ptCount val="5"/>
                <c:pt idx="0">
                  <c:v>12.1</c:v>
                </c:pt>
                <c:pt idx="1">
                  <c:v>15.6</c:v>
                </c:pt>
                <c:pt idx="2">
                  <c:v>135</c:v>
                </c:pt>
                <c:pt idx="3">
                  <c:v>112</c:v>
                </c:pt>
                <c:pt idx="4">
                  <c:v>6.5</c:v>
                </c:pt>
              </c:numCache>
            </c:numRef>
          </c:val>
          <c:extLst>
            <c:ext xmlns:c16="http://schemas.microsoft.com/office/drawing/2014/chart" uri="{C3380CC4-5D6E-409C-BE32-E72D297353CC}">
              <c16:uniqueId val="{00000002-953C-46FE-B1EE-F6ED4F28C585}"/>
            </c:ext>
          </c:extLst>
        </c:ser>
        <c:ser>
          <c:idx val="3"/>
          <c:order val="3"/>
          <c:tx>
            <c:strRef>
              <c:f>Sheet1!$A$19</c:f>
              <c:strCache>
                <c:ptCount val="1"/>
                <c:pt idx="0">
                  <c:v>2022</c:v>
                </c:pt>
              </c:strCache>
            </c:strRef>
          </c:tx>
          <c:spPr>
            <a:solidFill>
              <a:schemeClr val="accent4"/>
            </a:solidFill>
            <a:ln>
              <a:noFill/>
            </a:ln>
            <a:effectLst/>
          </c:spPr>
          <c:invertIfNegative val="0"/>
          <c:cat>
            <c:strRef>
              <c:f>Sheet1!$B$15:$F$15</c:f>
              <c:strCache>
                <c:ptCount val="5"/>
                <c:pt idx="0">
                  <c:v>CET1 Ratio (%)</c:v>
                </c:pt>
                <c:pt idx="1">
                  <c:v>Total Capital Ratio (%)</c:v>
                </c:pt>
                <c:pt idx="2">
                  <c:v>LCR (%)</c:v>
                </c:pt>
                <c:pt idx="3">
                  <c:v>NSFR (%)</c:v>
                </c:pt>
                <c:pt idx="4">
                  <c:v>Leverage Ratio (%)</c:v>
                </c:pt>
              </c:strCache>
            </c:strRef>
          </c:cat>
          <c:val>
            <c:numRef>
              <c:f>Sheet1!$B$19:$F$19</c:f>
              <c:numCache>
                <c:formatCode>General</c:formatCode>
                <c:ptCount val="5"/>
                <c:pt idx="0">
                  <c:v>12.4</c:v>
                </c:pt>
                <c:pt idx="1">
                  <c:v>15.8</c:v>
                </c:pt>
                <c:pt idx="2">
                  <c:v>140</c:v>
                </c:pt>
                <c:pt idx="3">
                  <c:v>115</c:v>
                </c:pt>
                <c:pt idx="4">
                  <c:v>6.7</c:v>
                </c:pt>
              </c:numCache>
            </c:numRef>
          </c:val>
          <c:extLst>
            <c:ext xmlns:c16="http://schemas.microsoft.com/office/drawing/2014/chart" uri="{C3380CC4-5D6E-409C-BE32-E72D297353CC}">
              <c16:uniqueId val="{00000003-953C-46FE-B1EE-F6ED4F28C585}"/>
            </c:ext>
          </c:extLst>
        </c:ser>
        <c:dLbls>
          <c:showLegendKey val="0"/>
          <c:showVal val="0"/>
          <c:showCatName val="0"/>
          <c:showSerName val="0"/>
          <c:showPercent val="0"/>
          <c:showBubbleSize val="0"/>
        </c:dLbls>
        <c:gapWidth val="182"/>
        <c:axId val="1701509679"/>
        <c:axId val="1836555055"/>
      </c:barChart>
      <c:catAx>
        <c:axId val="17015096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555055"/>
        <c:crosses val="autoZero"/>
        <c:auto val="1"/>
        <c:lblAlgn val="ctr"/>
        <c:lblOffset val="100"/>
        <c:noMultiLvlLbl val="0"/>
      </c:catAx>
      <c:valAx>
        <c:axId val="183655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509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2024-06-13T07:50:00Z</dcterms:created>
  <dcterms:modified xsi:type="dcterms:W3CDTF">2024-06-13T08:09:00Z</dcterms:modified>
</cp:coreProperties>
</file>