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41506" w14:textId="3B0BAC75" w:rsidR="00F92A00" w:rsidRDefault="00E45487" w:rsidP="00E45487">
      <w:pPr>
        <w:jc w:val="center"/>
        <w:rPr>
          <w:rFonts w:ascii="Times New Roman" w:hAnsi="Times New Roman" w:cs="Times New Roman"/>
          <w:b/>
          <w:sz w:val="28"/>
          <w:szCs w:val="28"/>
        </w:rPr>
      </w:pPr>
      <w:r w:rsidRPr="00E45487">
        <w:rPr>
          <w:rFonts w:ascii="Times New Roman" w:hAnsi="Times New Roman" w:cs="Times New Roman"/>
          <w:b/>
          <w:sz w:val="28"/>
          <w:szCs w:val="28"/>
        </w:rPr>
        <w:t>Core banking systems</w:t>
      </w:r>
    </w:p>
    <w:p w14:paraId="49E3C6D1" w14:textId="08E0C04F" w:rsidR="00E45487" w:rsidRDefault="00E45487" w:rsidP="00E45487">
      <w:pPr>
        <w:rPr>
          <w:rFonts w:ascii="Times New Roman" w:hAnsi="Times New Roman" w:cs="Times New Roman"/>
          <w:sz w:val="24"/>
          <w:szCs w:val="24"/>
        </w:rPr>
      </w:pPr>
      <w:r w:rsidRPr="00E45487">
        <w:rPr>
          <w:rFonts w:ascii="Times New Roman" w:hAnsi="Times New Roman" w:cs="Times New Roman"/>
          <w:sz w:val="24"/>
          <w:szCs w:val="24"/>
        </w:rPr>
        <w:t>Core banking systems (CBS) are essential frameworks that manage the day-to-day operations of banks, including transactions, customer accounts, loans, deposits, and other banking activities. In the U.S. banking system, these systems are crucial for the seamless operation and integration of various banking functions.</w:t>
      </w:r>
    </w:p>
    <w:p w14:paraId="44500736" w14:textId="77777777" w:rsidR="00E45487" w:rsidRPr="00E45487" w:rsidRDefault="00E45487" w:rsidP="00E45487">
      <w:pPr>
        <w:spacing w:before="100" w:beforeAutospacing="1" w:after="100" w:afterAutospacing="1" w:line="240" w:lineRule="auto"/>
        <w:outlineLvl w:val="2"/>
        <w:rPr>
          <w:rFonts w:ascii="Times New Roman" w:eastAsia="Times New Roman" w:hAnsi="Times New Roman" w:cs="Times New Roman"/>
          <w:b/>
          <w:bCs/>
          <w:sz w:val="24"/>
          <w:szCs w:val="24"/>
        </w:rPr>
      </w:pPr>
      <w:r w:rsidRPr="00E45487">
        <w:rPr>
          <w:rFonts w:ascii="Times New Roman" w:eastAsia="Times New Roman" w:hAnsi="Times New Roman" w:cs="Times New Roman"/>
          <w:b/>
          <w:bCs/>
          <w:sz w:val="24"/>
          <w:szCs w:val="24"/>
        </w:rPr>
        <w:t>Key Functions of Core Banking Systems</w:t>
      </w:r>
    </w:p>
    <w:p w14:paraId="4D31703E" w14:textId="77777777" w:rsidR="00E45487" w:rsidRPr="00E45487" w:rsidRDefault="00E45487" w:rsidP="00E45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Transaction Management</w:t>
      </w:r>
      <w:r w:rsidRPr="00E45487">
        <w:rPr>
          <w:rFonts w:ascii="Times New Roman" w:eastAsia="Times New Roman" w:hAnsi="Times New Roman" w:cs="Times New Roman"/>
          <w:sz w:val="24"/>
          <w:szCs w:val="24"/>
        </w:rPr>
        <w:t>: Handles all types of transactions, including deposits, withdrawals, transfers, and payments.</w:t>
      </w:r>
    </w:p>
    <w:p w14:paraId="7CABDB41" w14:textId="77777777" w:rsidR="00E45487" w:rsidRPr="00E45487" w:rsidRDefault="00E45487" w:rsidP="00E45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Customer Relationship Management (CRM)</w:t>
      </w:r>
      <w:r w:rsidRPr="00E45487">
        <w:rPr>
          <w:rFonts w:ascii="Times New Roman" w:eastAsia="Times New Roman" w:hAnsi="Times New Roman" w:cs="Times New Roman"/>
          <w:sz w:val="24"/>
          <w:szCs w:val="24"/>
        </w:rPr>
        <w:t>: Manages customer data, including personal details, account information, and transaction history.</w:t>
      </w:r>
    </w:p>
    <w:p w14:paraId="6807398F" w14:textId="77777777" w:rsidR="00E45487" w:rsidRPr="00E45487" w:rsidRDefault="00E45487" w:rsidP="00E45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Loan Processing</w:t>
      </w:r>
      <w:r w:rsidRPr="00E45487">
        <w:rPr>
          <w:rFonts w:ascii="Times New Roman" w:eastAsia="Times New Roman" w:hAnsi="Times New Roman" w:cs="Times New Roman"/>
          <w:sz w:val="24"/>
          <w:szCs w:val="24"/>
        </w:rPr>
        <w:t>: Manages the lifecycle of loans from application to disbursement and repayment.</w:t>
      </w:r>
    </w:p>
    <w:p w14:paraId="783800FB" w14:textId="77777777" w:rsidR="00E45487" w:rsidRPr="00E45487" w:rsidRDefault="00E45487" w:rsidP="00E45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Deposit Management</w:t>
      </w:r>
      <w:r w:rsidRPr="00E45487">
        <w:rPr>
          <w:rFonts w:ascii="Times New Roman" w:eastAsia="Times New Roman" w:hAnsi="Times New Roman" w:cs="Times New Roman"/>
          <w:sz w:val="24"/>
          <w:szCs w:val="24"/>
        </w:rPr>
        <w:t>: Handles various types of deposits, including savings, checking, and fixed deposits.</w:t>
      </w:r>
    </w:p>
    <w:p w14:paraId="178A9BD1" w14:textId="77777777" w:rsidR="00E45487" w:rsidRPr="00E45487" w:rsidRDefault="00E45487" w:rsidP="00E45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General Ledger</w:t>
      </w:r>
      <w:r w:rsidRPr="00E45487">
        <w:rPr>
          <w:rFonts w:ascii="Times New Roman" w:eastAsia="Times New Roman" w:hAnsi="Times New Roman" w:cs="Times New Roman"/>
          <w:sz w:val="24"/>
          <w:szCs w:val="24"/>
        </w:rPr>
        <w:t>: Maintains the bank’s financial records, ensuring accuracy and compliance with accounting standards.</w:t>
      </w:r>
    </w:p>
    <w:p w14:paraId="3B885381" w14:textId="77777777" w:rsidR="00E45487" w:rsidRPr="00E45487" w:rsidRDefault="00E45487" w:rsidP="00E45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Risk Management</w:t>
      </w:r>
      <w:r w:rsidRPr="00E45487">
        <w:rPr>
          <w:rFonts w:ascii="Times New Roman" w:eastAsia="Times New Roman" w:hAnsi="Times New Roman" w:cs="Times New Roman"/>
          <w:sz w:val="24"/>
          <w:szCs w:val="24"/>
        </w:rPr>
        <w:t>: Identifies, assesses, and manages risks associated with banking operations.</w:t>
      </w:r>
    </w:p>
    <w:p w14:paraId="77F846A3" w14:textId="6C8D44A7" w:rsidR="00E45487" w:rsidRDefault="00E45487" w:rsidP="00E45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Regulatory Compliance</w:t>
      </w:r>
      <w:r w:rsidRPr="00E45487">
        <w:rPr>
          <w:rFonts w:ascii="Times New Roman" w:eastAsia="Times New Roman" w:hAnsi="Times New Roman" w:cs="Times New Roman"/>
          <w:sz w:val="24"/>
          <w:szCs w:val="24"/>
        </w:rPr>
        <w:t>: Ensures that the bank complies with local, state, and federal regulations.</w:t>
      </w:r>
    </w:p>
    <w:p w14:paraId="5A57BBB3" w14:textId="77777777" w:rsidR="00E45487" w:rsidRDefault="00E45487" w:rsidP="00E45487">
      <w:pPr>
        <w:spacing w:before="100" w:beforeAutospacing="1" w:after="100" w:afterAutospacing="1" w:line="240" w:lineRule="auto"/>
        <w:outlineLvl w:val="2"/>
        <w:rPr>
          <w:rFonts w:ascii="Times New Roman" w:eastAsia="Times New Roman" w:hAnsi="Times New Roman" w:cs="Times New Roman"/>
          <w:b/>
          <w:bCs/>
          <w:sz w:val="24"/>
          <w:szCs w:val="24"/>
        </w:rPr>
      </w:pPr>
    </w:p>
    <w:p w14:paraId="14752C4F" w14:textId="77777777" w:rsidR="00E45487" w:rsidRDefault="00E45487" w:rsidP="00E45487">
      <w:pPr>
        <w:spacing w:before="100" w:beforeAutospacing="1" w:after="100" w:afterAutospacing="1" w:line="240" w:lineRule="auto"/>
        <w:outlineLvl w:val="2"/>
        <w:rPr>
          <w:rFonts w:ascii="Times New Roman" w:eastAsia="Times New Roman" w:hAnsi="Times New Roman" w:cs="Times New Roman"/>
          <w:b/>
          <w:bCs/>
          <w:sz w:val="24"/>
          <w:szCs w:val="24"/>
        </w:rPr>
      </w:pPr>
    </w:p>
    <w:p w14:paraId="2A261D4F" w14:textId="72C897D1" w:rsidR="00E45487" w:rsidRPr="00E45487" w:rsidRDefault="00E45487" w:rsidP="00E45487">
      <w:pPr>
        <w:spacing w:before="100" w:beforeAutospacing="1" w:after="100" w:afterAutospacing="1" w:line="240" w:lineRule="auto"/>
        <w:outlineLvl w:val="2"/>
        <w:rPr>
          <w:rFonts w:ascii="Times New Roman" w:eastAsia="Times New Roman" w:hAnsi="Times New Roman" w:cs="Times New Roman"/>
          <w:b/>
          <w:bCs/>
          <w:sz w:val="24"/>
          <w:szCs w:val="24"/>
        </w:rPr>
      </w:pPr>
      <w:r w:rsidRPr="00E45487">
        <w:rPr>
          <w:rFonts w:ascii="Times New Roman" w:eastAsia="Times New Roman" w:hAnsi="Times New Roman" w:cs="Times New Roman"/>
          <w:b/>
          <w:bCs/>
          <w:sz w:val="24"/>
          <w:szCs w:val="24"/>
        </w:rPr>
        <w:t>Popular Core Banking Systems in the U.S.</w:t>
      </w:r>
    </w:p>
    <w:p w14:paraId="133F2A68" w14:textId="77777777" w:rsidR="00E45487" w:rsidRPr="00E45487" w:rsidRDefault="00E45487" w:rsidP="00E45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FIS (Fidelity National Information Services)</w:t>
      </w:r>
      <w:r w:rsidRPr="00E45487">
        <w:rPr>
          <w:rFonts w:ascii="Times New Roman" w:eastAsia="Times New Roman" w:hAnsi="Times New Roman" w:cs="Times New Roman"/>
          <w:sz w:val="24"/>
          <w:szCs w:val="24"/>
        </w:rPr>
        <w:t>: Provides solutions like FIS Core Banking, which supports retail and commercial banking, and offers a comprehensive suite of banking services.</w:t>
      </w:r>
    </w:p>
    <w:p w14:paraId="794A8EED" w14:textId="77777777" w:rsidR="00E45487" w:rsidRPr="00E45487" w:rsidRDefault="00E45487" w:rsidP="00E45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Finastra</w:t>
      </w:r>
      <w:r w:rsidRPr="00E45487">
        <w:rPr>
          <w:rFonts w:ascii="Times New Roman" w:eastAsia="Times New Roman" w:hAnsi="Times New Roman" w:cs="Times New Roman"/>
          <w:sz w:val="24"/>
          <w:szCs w:val="24"/>
        </w:rPr>
        <w:t>: Offers solutions like Fusion Banking, which provides a range of core banking functions for retail, corporate, and universal banking.</w:t>
      </w:r>
    </w:p>
    <w:p w14:paraId="3C5A0E50" w14:textId="77777777" w:rsidR="00E45487" w:rsidRPr="00E45487" w:rsidRDefault="00E45487" w:rsidP="00E45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Fiserv</w:t>
      </w:r>
      <w:r w:rsidRPr="00E45487">
        <w:rPr>
          <w:rFonts w:ascii="Times New Roman" w:eastAsia="Times New Roman" w:hAnsi="Times New Roman" w:cs="Times New Roman"/>
          <w:sz w:val="24"/>
          <w:szCs w:val="24"/>
        </w:rPr>
        <w:t>: Known for its DNA core banking platform, which is widely used for its flexibility, scalability, and comprehensive functionality.</w:t>
      </w:r>
    </w:p>
    <w:p w14:paraId="65E3E269" w14:textId="77777777" w:rsidR="00E45487" w:rsidRPr="00E45487" w:rsidRDefault="00E45487" w:rsidP="00E45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Jack Henry &amp; Associates</w:t>
      </w:r>
      <w:r w:rsidRPr="00E45487">
        <w:rPr>
          <w:rFonts w:ascii="Times New Roman" w:eastAsia="Times New Roman" w:hAnsi="Times New Roman" w:cs="Times New Roman"/>
          <w:sz w:val="24"/>
          <w:szCs w:val="24"/>
        </w:rPr>
        <w:t xml:space="preserve">: Offers </w:t>
      </w:r>
      <w:proofErr w:type="spellStart"/>
      <w:r w:rsidRPr="00E45487">
        <w:rPr>
          <w:rFonts w:ascii="Times New Roman" w:eastAsia="Times New Roman" w:hAnsi="Times New Roman" w:cs="Times New Roman"/>
          <w:sz w:val="24"/>
          <w:szCs w:val="24"/>
        </w:rPr>
        <w:t>SilverLake</w:t>
      </w:r>
      <w:proofErr w:type="spellEnd"/>
      <w:r w:rsidRPr="00E45487">
        <w:rPr>
          <w:rFonts w:ascii="Times New Roman" w:eastAsia="Times New Roman" w:hAnsi="Times New Roman" w:cs="Times New Roman"/>
          <w:sz w:val="24"/>
          <w:szCs w:val="24"/>
        </w:rPr>
        <w:t xml:space="preserve"> System for commercial banks and Core Director for community banks.</w:t>
      </w:r>
    </w:p>
    <w:p w14:paraId="7271BDB1" w14:textId="77777777" w:rsidR="00E45487" w:rsidRPr="00E45487" w:rsidRDefault="00E45487" w:rsidP="00E45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Oracle FLEXCUBE</w:t>
      </w:r>
      <w:r w:rsidRPr="00E45487">
        <w:rPr>
          <w:rFonts w:ascii="Times New Roman" w:eastAsia="Times New Roman" w:hAnsi="Times New Roman" w:cs="Times New Roman"/>
          <w:sz w:val="24"/>
          <w:szCs w:val="24"/>
        </w:rPr>
        <w:t>: Provides a core banking solution that supports various banking functions and offers robust integration capabilities.</w:t>
      </w:r>
    </w:p>
    <w:p w14:paraId="1087308E" w14:textId="77777777" w:rsidR="00E45487" w:rsidRPr="00E45487" w:rsidRDefault="00E45487" w:rsidP="00E45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Temenos T24</w:t>
      </w:r>
      <w:r w:rsidRPr="00E45487">
        <w:rPr>
          <w:rFonts w:ascii="Times New Roman" w:eastAsia="Times New Roman" w:hAnsi="Times New Roman" w:cs="Times New Roman"/>
          <w:sz w:val="24"/>
          <w:szCs w:val="24"/>
        </w:rPr>
        <w:t>: A widely used core banking system that offers extensive functionality and flexibility for different banking needs.</w:t>
      </w:r>
    </w:p>
    <w:p w14:paraId="028F9F27" w14:textId="784C2B7D" w:rsidR="00E45487" w:rsidRDefault="00E45487" w:rsidP="00E45487">
      <w:pPr>
        <w:spacing w:before="100" w:beforeAutospacing="1" w:after="100" w:afterAutospacing="1" w:line="240" w:lineRule="auto"/>
        <w:ind w:left="720"/>
        <w:rPr>
          <w:rFonts w:ascii="Times New Roman" w:eastAsia="Times New Roman" w:hAnsi="Times New Roman" w:cs="Times New Roman"/>
          <w:sz w:val="24"/>
          <w:szCs w:val="24"/>
        </w:rPr>
      </w:pPr>
    </w:p>
    <w:p w14:paraId="1D2D40EA" w14:textId="6C201710" w:rsidR="00E45487" w:rsidRDefault="00E45487" w:rsidP="00E45487">
      <w:pPr>
        <w:spacing w:before="100" w:beforeAutospacing="1" w:after="100" w:afterAutospacing="1" w:line="240" w:lineRule="auto"/>
        <w:ind w:left="720"/>
        <w:rPr>
          <w:rFonts w:ascii="Times New Roman" w:eastAsia="Times New Roman" w:hAnsi="Times New Roman" w:cs="Times New Roman"/>
          <w:sz w:val="24"/>
          <w:szCs w:val="24"/>
        </w:rPr>
      </w:pPr>
    </w:p>
    <w:p w14:paraId="2621BAA6" w14:textId="77023344" w:rsidR="00E45487" w:rsidRDefault="00E45487" w:rsidP="00E45487">
      <w:pPr>
        <w:spacing w:before="100" w:beforeAutospacing="1" w:after="100" w:afterAutospacing="1" w:line="240" w:lineRule="auto"/>
        <w:ind w:left="720"/>
        <w:rPr>
          <w:rFonts w:ascii="Times New Roman" w:eastAsia="Times New Roman" w:hAnsi="Times New Roman" w:cs="Times New Roman"/>
          <w:sz w:val="24"/>
          <w:szCs w:val="24"/>
        </w:rPr>
      </w:pPr>
    </w:p>
    <w:p w14:paraId="1E160732" w14:textId="77777777" w:rsidR="00E45487" w:rsidRPr="00E45487" w:rsidRDefault="00E45487" w:rsidP="00E45487">
      <w:pPr>
        <w:spacing w:before="100" w:beforeAutospacing="1" w:after="100" w:afterAutospacing="1" w:line="240" w:lineRule="auto"/>
        <w:outlineLvl w:val="2"/>
        <w:rPr>
          <w:rFonts w:ascii="Times New Roman" w:eastAsia="Times New Roman" w:hAnsi="Times New Roman" w:cs="Times New Roman"/>
          <w:b/>
          <w:bCs/>
          <w:sz w:val="27"/>
          <w:szCs w:val="27"/>
        </w:rPr>
      </w:pPr>
      <w:r w:rsidRPr="00E45487">
        <w:rPr>
          <w:rFonts w:ascii="Times New Roman" w:eastAsia="Times New Roman" w:hAnsi="Times New Roman" w:cs="Times New Roman"/>
          <w:b/>
          <w:bCs/>
          <w:sz w:val="27"/>
          <w:szCs w:val="27"/>
        </w:rPr>
        <w:t>Trends in Core Banking Systems</w:t>
      </w:r>
    </w:p>
    <w:p w14:paraId="4E1EC6C1" w14:textId="77777777" w:rsidR="00E45487" w:rsidRPr="00E45487" w:rsidRDefault="00E45487" w:rsidP="00E45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Cloud-Based Solutions</w:t>
      </w:r>
      <w:r w:rsidRPr="00E45487">
        <w:rPr>
          <w:rFonts w:ascii="Times New Roman" w:eastAsia="Times New Roman" w:hAnsi="Times New Roman" w:cs="Times New Roman"/>
          <w:sz w:val="24"/>
          <w:szCs w:val="24"/>
        </w:rPr>
        <w:t>: Increasing adoption of cloud technology to reduce costs and improve scalability and flexibility.</w:t>
      </w:r>
    </w:p>
    <w:p w14:paraId="0DBBBFCB" w14:textId="77777777" w:rsidR="00E45487" w:rsidRPr="00E45487" w:rsidRDefault="00E45487" w:rsidP="00E45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API Integration</w:t>
      </w:r>
      <w:r w:rsidRPr="00E45487">
        <w:rPr>
          <w:rFonts w:ascii="Times New Roman" w:eastAsia="Times New Roman" w:hAnsi="Times New Roman" w:cs="Times New Roman"/>
          <w:sz w:val="24"/>
          <w:szCs w:val="24"/>
        </w:rPr>
        <w:t>: Enhanced use of APIs to integrate with third-party services and improve interoperability.</w:t>
      </w:r>
    </w:p>
    <w:p w14:paraId="76B994E0" w14:textId="77777777" w:rsidR="00E45487" w:rsidRPr="00E45487" w:rsidRDefault="00E45487" w:rsidP="00E45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Real-Time Processing</w:t>
      </w:r>
      <w:r w:rsidRPr="00E45487">
        <w:rPr>
          <w:rFonts w:ascii="Times New Roman" w:eastAsia="Times New Roman" w:hAnsi="Times New Roman" w:cs="Times New Roman"/>
          <w:sz w:val="24"/>
          <w:szCs w:val="24"/>
        </w:rPr>
        <w:t>: Shift towards real-time processing of transactions and data to enhance customer experience.</w:t>
      </w:r>
    </w:p>
    <w:p w14:paraId="4891562D" w14:textId="77777777" w:rsidR="00E45487" w:rsidRPr="00E45487" w:rsidRDefault="00E45487" w:rsidP="00E45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Artificial Intelligence and Machine Learning</w:t>
      </w:r>
      <w:r w:rsidRPr="00E45487">
        <w:rPr>
          <w:rFonts w:ascii="Times New Roman" w:eastAsia="Times New Roman" w:hAnsi="Times New Roman" w:cs="Times New Roman"/>
          <w:sz w:val="24"/>
          <w:szCs w:val="24"/>
        </w:rPr>
        <w:t>: Use of AI and ML for predictive analytics, risk management, and personalized banking services.</w:t>
      </w:r>
    </w:p>
    <w:p w14:paraId="0AA3DF7B" w14:textId="77777777" w:rsidR="00E45487" w:rsidRPr="00E45487" w:rsidRDefault="00E45487" w:rsidP="00E45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Cybersecurity</w:t>
      </w:r>
      <w:r w:rsidRPr="00E45487">
        <w:rPr>
          <w:rFonts w:ascii="Times New Roman" w:eastAsia="Times New Roman" w:hAnsi="Times New Roman" w:cs="Times New Roman"/>
          <w:sz w:val="24"/>
          <w:szCs w:val="24"/>
        </w:rPr>
        <w:t>: Enhanced focus on cybersecurity measures to protect sensitive financial data from breaches and attacks.</w:t>
      </w:r>
    </w:p>
    <w:p w14:paraId="4BC13113" w14:textId="77777777" w:rsidR="00E45487" w:rsidRPr="00E45487" w:rsidRDefault="00E45487" w:rsidP="00E45487">
      <w:pPr>
        <w:spacing w:before="100" w:beforeAutospacing="1" w:after="100" w:afterAutospacing="1" w:line="240" w:lineRule="auto"/>
        <w:outlineLvl w:val="2"/>
        <w:rPr>
          <w:rFonts w:ascii="Times New Roman" w:eastAsia="Times New Roman" w:hAnsi="Times New Roman" w:cs="Times New Roman"/>
          <w:b/>
          <w:bCs/>
          <w:sz w:val="27"/>
          <w:szCs w:val="27"/>
        </w:rPr>
      </w:pPr>
      <w:r w:rsidRPr="00E45487">
        <w:rPr>
          <w:rFonts w:ascii="Times New Roman" w:eastAsia="Times New Roman" w:hAnsi="Times New Roman" w:cs="Times New Roman"/>
          <w:b/>
          <w:bCs/>
          <w:sz w:val="27"/>
          <w:szCs w:val="27"/>
        </w:rPr>
        <w:t>Challenges</w:t>
      </w:r>
    </w:p>
    <w:p w14:paraId="4D847301" w14:textId="77777777" w:rsidR="00E45487" w:rsidRPr="00E45487" w:rsidRDefault="00E45487" w:rsidP="00E45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Legacy System Upgrades</w:t>
      </w:r>
      <w:r w:rsidRPr="00E45487">
        <w:rPr>
          <w:rFonts w:ascii="Times New Roman" w:eastAsia="Times New Roman" w:hAnsi="Times New Roman" w:cs="Times New Roman"/>
          <w:sz w:val="24"/>
          <w:szCs w:val="24"/>
        </w:rPr>
        <w:t>: Many banks still operate on legacy systems that are difficult to upgrade and integrate with modern technologies.</w:t>
      </w:r>
    </w:p>
    <w:p w14:paraId="6D3CC3AE" w14:textId="77777777" w:rsidR="00E45487" w:rsidRPr="00E45487" w:rsidRDefault="00E45487" w:rsidP="00E45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Regulatory Compliance</w:t>
      </w:r>
      <w:r w:rsidRPr="00E45487">
        <w:rPr>
          <w:rFonts w:ascii="Times New Roman" w:eastAsia="Times New Roman" w:hAnsi="Times New Roman" w:cs="Times New Roman"/>
          <w:sz w:val="24"/>
          <w:szCs w:val="24"/>
        </w:rPr>
        <w:t>: Keeping up with ever-changing regulations and ensuring compliance can be challenging.</w:t>
      </w:r>
    </w:p>
    <w:p w14:paraId="4F2BCDA4" w14:textId="77777777" w:rsidR="00E45487" w:rsidRPr="00E45487" w:rsidRDefault="00E45487" w:rsidP="00E45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Data Security</w:t>
      </w:r>
      <w:r w:rsidRPr="00E45487">
        <w:rPr>
          <w:rFonts w:ascii="Times New Roman" w:eastAsia="Times New Roman" w:hAnsi="Times New Roman" w:cs="Times New Roman"/>
          <w:sz w:val="24"/>
          <w:szCs w:val="24"/>
        </w:rPr>
        <w:t>: Protecting sensitive customer data from cyber threats is a top priority and challenge for banks.</w:t>
      </w:r>
    </w:p>
    <w:p w14:paraId="5E7CE7EA" w14:textId="6E317E15" w:rsidR="00E45487" w:rsidRDefault="00E45487" w:rsidP="00E45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Cost</w:t>
      </w:r>
      <w:r w:rsidRPr="00E45487">
        <w:rPr>
          <w:rFonts w:ascii="Times New Roman" w:eastAsia="Times New Roman" w:hAnsi="Times New Roman" w:cs="Times New Roman"/>
          <w:sz w:val="24"/>
          <w:szCs w:val="24"/>
        </w:rPr>
        <w:t>: Implementing and maintaining core banking systems can be expensive, particularly for smaller banks.</w:t>
      </w:r>
    </w:p>
    <w:p w14:paraId="5A4BA6E2" w14:textId="77777777" w:rsidR="00E45487" w:rsidRPr="00E45487" w:rsidRDefault="00E45487" w:rsidP="00E45487">
      <w:p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b/>
          <w:bCs/>
          <w:sz w:val="24"/>
          <w:szCs w:val="24"/>
        </w:rPr>
        <w:t>Market Share of Core Banking Systems Providers (2023)</w:t>
      </w:r>
    </w:p>
    <w:p w14:paraId="234E0711" w14:textId="77777777" w:rsidR="00E45487" w:rsidRPr="00E45487" w:rsidRDefault="00E45487" w:rsidP="00E45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sz w:val="24"/>
          <w:szCs w:val="24"/>
        </w:rPr>
        <w:t>FIS: 30%</w:t>
      </w:r>
    </w:p>
    <w:p w14:paraId="0371DE49" w14:textId="77777777" w:rsidR="00E45487" w:rsidRPr="00E45487" w:rsidRDefault="00E45487" w:rsidP="00E45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sz w:val="24"/>
          <w:szCs w:val="24"/>
        </w:rPr>
        <w:t>Finastra: 20%</w:t>
      </w:r>
    </w:p>
    <w:p w14:paraId="42695875" w14:textId="77777777" w:rsidR="00E45487" w:rsidRPr="00E45487" w:rsidRDefault="00E45487" w:rsidP="00E45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sz w:val="24"/>
          <w:szCs w:val="24"/>
        </w:rPr>
        <w:t>Fiserv: 25%</w:t>
      </w:r>
    </w:p>
    <w:p w14:paraId="5E735459" w14:textId="77777777" w:rsidR="00E45487" w:rsidRPr="00E45487" w:rsidRDefault="00E45487" w:rsidP="00E45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sz w:val="24"/>
          <w:szCs w:val="24"/>
        </w:rPr>
        <w:t>Jack Henry: 15%</w:t>
      </w:r>
    </w:p>
    <w:p w14:paraId="0977BDFE" w14:textId="77777777" w:rsidR="00E45487" w:rsidRPr="00E45487" w:rsidRDefault="00E45487" w:rsidP="00E45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sz w:val="24"/>
          <w:szCs w:val="24"/>
        </w:rPr>
        <w:t>Oracle FLEXCUBE: 5%</w:t>
      </w:r>
    </w:p>
    <w:p w14:paraId="51C05CB7" w14:textId="77777777" w:rsidR="00E45487" w:rsidRPr="00E45487" w:rsidRDefault="00E45487" w:rsidP="00E45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5487">
        <w:rPr>
          <w:rFonts w:ascii="Times New Roman" w:eastAsia="Times New Roman" w:hAnsi="Times New Roman" w:cs="Times New Roman"/>
          <w:sz w:val="24"/>
          <w:szCs w:val="24"/>
        </w:rPr>
        <w:t>Temenos T24: 5%</w:t>
      </w:r>
    </w:p>
    <w:p w14:paraId="7BBECBFC" w14:textId="77777777" w:rsidR="00E45487" w:rsidRPr="00E45487" w:rsidRDefault="00E45487" w:rsidP="00E45487">
      <w:pPr>
        <w:spacing w:before="100" w:beforeAutospacing="1" w:after="100" w:afterAutospacing="1" w:line="240" w:lineRule="auto"/>
        <w:ind w:left="720"/>
        <w:rPr>
          <w:rFonts w:ascii="Times New Roman" w:eastAsia="Times New Roman" w:hAnsi="Times New Roman" w:cs="Times New Roman"/>
          <w:sz w:val="24"/>
          <w:szCs w:val="24"/>
        </w:rPr>
      </w:pPr>
    </w:p>
    <w:p w14:paraId="2C425CBF" w14:textId="51896802" w:rsidR="00E45487" w:rsidRDefault="00E45487" w:rsidP="00E4548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F936D5" wp14:editId="78683A16">
            <wp:extent cx="4418965" cy="3483789"/>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1496" cy="3501552"/>
                    </a:xfrm>
                    <a:prstGeom prst="rect">
                      <a:avLst/>
                    </a:prstGeom>
                    <a:noFill/>
                  </pic:spPr>
                </pic:pic>
              </a:graphicData>
            </a:graphic>
          </wp:inline>
        </w:drawing>
      </w:r>
    </w:p>
    <w:p w14:paraId="1F68050C" w14:textId="77777777" w:rsidR="00E45487" w:rsidRPr="00E45487" w:rsidRDefault="00E45487" w:rsidP="00E45487">
      <w:pPr>
        <w:spacing w:before="100" w:beforeAutospacing="1" w:after="100" w:afterAutospacing="1" w:line="240" w:lineRule="auto"/>
        <w:ind w:left="720"/>
        <w:rPr>
          <w:rFonts w:ascii="Times New Roman" w:eastAsia="Times New Roman" w:hAnsi="Times New Roman" w:cs="Times New Roman"/>
          <w:sz w:val="24"/>
          <w:szCs w:val="24"/>
        </w:rPr>
      </w:pPr>
    </w:p>
    <w:p w14:paraId="313E5DF5" w14:textId="3EE0A794" w:rsidR="00E45487" w:rsidRDefault="00E45487" w:rsidP="00E4548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73AFC5B" wp14:editId="48CEC176">
            <wp:extent cx="5463540" cy="35678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7819" cy="3583683"/>
                    </a:xfrm>
                    <a:prstGeom prst="rect">
                      <a:avLst/>
                    </a:prstGeom>
                    <a:noFill/>
                  </pic:spPr>
                </pic:pic>
              </a:graphicData>
            </a:graphic>
          </wp:inline>
        </w:drawing>
      </w:r>
    </w:p>
    <w:p w14:paraId="4B89BF31" w14:textId="1CBF548C" w:rsidR="00E45487" w:rsidRDefault="00E45487" w:rsidP="00E45487">
      <w:pPr>
        <w:rPr>
          <w:rFonts w:ascii="Times New Roman" w:hAnsi="Times New Roman" w:cs="Times New Roman"/>
          <w:b/>
          <w:sz w:val="24"/>
          <w:szCs w:val="24"/>
        </w:rPr>
      </w:pPr>
    </w:p>
    <w:p w14:paraId="731B3D6C" w14:textId="77104BC5" w:rsidR="00E45487" w:rsidRDefault="00E45487" w:rsidP="00E45487">
      <w:pPr>
        <w:rPr>
          <w:rFonts w:ascii="Times New Roman" w:hAnsi="Times New Roman" w:cs="Times New Roman"/>
          <w:b/>
          <w:sz w:val="24"/>
          <w:szCs w:val="24"/>
        </w:rPr>
      </w:pPr>
    </w:p>
    <w:p w14:paraId="4737C85D" w14:textId="5FC45423" w:rsidR="00E45487" w:rsidRDefault="00E45487" w:rsidP="00E45487">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36321A6" wp14:editId="6D653C39">
            <wp:extent cx="5259070" cy="3412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276" cy="3421260"/>
                    </a:xfrm>
                    <a:prstGeom prst="rect">
                      <a:avLst/>
                    </a:prstGeom>
                    <a:noFill/>
                  </pic:spPr>
                </pic:pic>
              </a:graphicData>
            </a:graphic>
          </wp:inline>
        </w:drawing>
      </w:r>
    </w:p>
    <w:p w14:paraId="09DC9F41" w14:textId="22A815F0" w:rsidR="00E45487" w:rsidRPr="00AC1CA8" w:rsidRDefault="00AC1CA8" w:rsidP="00E45487">
      <w:pPr>
        <w:rPr>
          <w:rFonts w:ascii="Times New Roman" w:hAnsi="Times New Roman" w:cs="Times New Roman"/>
          <w:b/>
          <w:sz w:val="28"/>
          <w:szCs w:val="28"/>
        </w:rPr>
      </w:pPr>
      <w:r w:rsidRPr="00AC1CA8">
        <w:rPr>
          <w:rFonts w:ascii="Times New Roman" w:hAnsi="Times New Roman" w:cs="Times New Roman"/>
          <w:b/>
          <w:sz w:val="28"/>
          <w:szCs w:val="28"/>
        </w:rPr>
        <w:t>Key changes:</w:t>
      </w:r>
    </w:p>
    <w:p w14:paraId="318F07E1" w14:textId="572DFFA7" w:rsidR="00E45487" w:rsidRDefault="00E45487" w:rsidP="00E45487">
      <w:pPr>
        <w:rPr>
          <w:rFonts w:ascii="Times New Roman" w:hAnsi="Times New Roman" w:cs="Times New Roman"/>
          <w:b/>
          <w:sz w:val="24"/>
          <w:szCs w:val="24"/>
        </w:rPr>
      </w:pPr>
    </w:p>
    <w:p w14:paraId="1AB59D5C" w14:textId="5F12600B" w:rsidR="00E45487" w:rsidRDefault="00E45487" w:rsidP="00E45487">
      <w:pPr>
        <w:rPr>
          <w:rFonts w:ascii="Times New Roman" w:hAnsi="Times New Roman" w:cs="Times New Roman"/>
          <w:b/>
          <w:sz w:val="24"/>
          <w:szCs w:val="24"/>
        </w:rPr>
      </w:pPr>
      <w:r>
        <w:rPr>
          <w:noProof/>
        </w:rPr>
        <w:drawing>
          <wp:inline distT="0" distB="0" distL="0" distR="0" wp14:anchorId="2C8BD96F" wp14:editId="0C214B2C">
            <wp:extent cx="4572000" cy="2743200"/>
            <wp:effectExtent l="0" t="0" r="0" b="0"/>
            <wp:docPr id="5" name="Chart 5">
              <a:extLst xmlns:a="http://schemas.openxmlformats.org/drawingml/2006/main">
                <a:ext uri="{FF2B5EF4-FFF2-40B4-BE49-F238E27FC236}">
                  <a16:creationId xmlns:a16="http://schemas.microsoft.com/office/drawing/2014/main" id="{CD4202EE-1027-41BD-BAE7-9DAAA9D37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FB624E" w14:textId="6CF74225" w:rsidR="00AC1CA8" w:rsidRDefault="00AC1CA8" w:rsidP="00E45487">
      <w:pPr>
        <w:rPr>
          <w:rFonts w:ascii="Times New Roman" w:hAnsi="Times New Roman" w:cs="Times New Roman"/>
          <w:b/>
          <w:sz w:val="24"/>
          <w:szCs w:val="24"/>
        </w:rPr>
      </w:pPr>
    </w:p>
    <w:p w14:paraId="64B1704A" w14:textId="3F80736B" w:rsidR="00AC1CA8" w:rsidRDefault="00AC1CA8" w:rsidP="00E45487">
      <w:pPr>
        <w:rPr>
          <w:rFonts w:ascii="Times New Roman" w:hAnsi="Times New Roman" w:cs="Times New Roman"/>
          <w:b/>
          <w:sz w:val="24"/>
          <w:szCs w:val="24"/>
        </w:rPr>
      </w:pPr>
      <w:r>
        <w:rPr>
          <w:noProof/>
        </w:rPr>
        <w:lastRenderedPageBreak/>
        <w:drawing>
          <wp:inline distT="0" distB="0" distL="0" distR="0" wp14:anchorId="3C04B659" wp14:editId="1BD43CCA">
            <wp:extent cx="4572000" cy="2743200"/>
            <wp:effectExtent l="0" t="0" r="0" b="0"/>
            <wp:docPr id="6" name="Chart 6">
              <a:extLst xmlns:a="http://schemas.openxmlformats.org/drawingml/2006/main">
                <a:ext uri="{FF2B5EF4-FFF2-40B4-BE49-F238E27FC236}">
                  <a16:creationId xmlns:a16="http://schemas.microsoft.com/office/drawing/2014/main" id="{88C95525-4D6C-4C3F-8954-2859B8F89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D8A703" w14:textId="7DA0CCFF" w:rsidR="00AC1CA8" w:rsidRDefault="00AC1CA8" w:rsidP="00E45487">
      <w:pPr>
        <w:rPr>
          <w:rFonts w:ascii="Times New Roman" w:hAnsi="Times New Roman" w:cs="Times New Roman"/>
          <w:b/>
          <w:sz w:val="24"/>
          <w:szCs w:val="24"/>
        </w:rPr>
      </w:pPr>
    </w:p>
    <w:p w14:paraId="1CE551DE" w14:textId="2482759C" w:rsidR="00AC1CA8" w:rsidRDefault="00AC1CA8" w:rsidP="00E45487">
      <w:pPr>
        <w:rPr>
          <w:rFonts w:ascii="Times New Roman" w:hAnsi="Times New Roman" w:cs="Times New Roman"/>
          <w:b/>
          <w:sz w:val="24"/>
          <w:szCs w:val="24"/>
        </w:rPr>
      </w:pPr>
    </w:p>
    <w:p w14:paraId="6F4031A5" w14:textId="3A2815F9" w:rsidR="00AC1CA8" w:rsidRPr="00AC1CA8" w:rsidRDefault="00AC1CA8" w:rsidP="00AC1CA8">
      <w:p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Symbol" w:cs="Times New Roman"/>
          <w:sz w:val="24"/>
          <w:szCs w:val="24"/>
        </w:rPr>
        <w:t></w:t>
      </w:r>
      <w:r w:rsidRPr="00AC1CA8">
        <w:rPr>
          <w:rFonts w:ascii="Times New Roman" w:eastAsia="Times New Roman" w:hAnsi="Times New Roman" w:cs="Times New Roman"/>
          <w:sz w:val="24"/>
          <w:szCs w:val="24"/>
        </w:rPr>
        <w:t xml:space="preserve"> </w:t>
      </w:r>
      <w:r w:rsidRPr="00AC1CA8">
        <w:rPr>
          <w:rFonts w:ascii="Times New Roman" w:eastAsia="Times New Roman" w:hAnsi="Times New Roman" w:cs="Times New Roman"/>
          <w:b/>
          <w:bCs/>
          <w:sz w:val="24"/>
          <w:szCs w:val="24"/>
        </w:rPr>
        <w:t>Shift to Cloud-Based Solutions</w:t>
      </w:r>
      <w:r w:rsidRPr="00AC1CA8">
        <w:rPr>
          <w:rFonts w:ascii="Times New Roman" w:eastAsia="Times New Roman" w:hAnsi="Times New Roman" w:cs="Times New Roman"/>
          <w:sz w:val="24"/>
          <w:szCs w:val="24"/>
        </w:rPr>
        <w:t>:</w:t>
      </w:r>
    </w:p>
    <w:p w14:paraId="0CBD705E" w14:textId="77777777" w:rsidR="00AC1CA8" w:rsidRPr="00AC1CA8" w:rsidRDefault="00AC1CA8" w:rsidP="00AC1C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Times New Roman" w:cs="Times New Roman"/>
          <w:b/>
          <w:bCs/>
          <w:sz w:val="24"/>
          <w:szCs w:val="24"/>
        </w:rPr>
        <w:t>Insight</w:t>
      </w:r>
      <w:r w:rsidRPr="00AC1CA8">
        <w:rPr>
          <w:rFonts w:ascii="Times New Roman" w:eastAsia="Times New Roman" w:hAnsi="Times New Roman" w:cs="Times New Roman"/>
          <w:sz w:val="24"/>
          <w:szCs w:val="24"/>
        </w:rPr>
        <w:t>: The adoption of cloud-based core banking systems has increased significantly, from 20% in 2018 to 65% in 2023. This shift is driven by the need for greater scalability, cost-efficiency, and flexibility offered by cloud solutions.</w:t>
      </w:r>
    </w:p>
    <w:p w14:paraId="5A8C8F80" w14:textId="2EDFC514" w:rsidR="00AC1CA8" w:rsidRPr="00AC1CA8" w:rsidRDefault="00AC1CA8" w:rsidP="00AC1CA8">
      <w:p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Symbol" w:cs="Times New Roman"/>
          <w:sz w:val="24"/>
          <w:szCs w:val="24"/>
        </w:rPr>
        <w:t></w:t>
      </w:r>
      <w:r w:rsidRPr="00AC1CA8">
        <w:rPr>
          <w:rFonts w:ascii="Times New Roman" w:eastAsia="Times New Roman" w:hAnsi="Times New Roman" w:cs="Times New Roman"/>
          <w:sz w:val="24"/>
          <w:szCs w:val="24"/>
        </w:rPr>
        <w:t xml:space="preserve"> </w:t>
      </w:r>
      <w:r w:rsidRPr="00AC1CA8">
        <w:rPr>
          <w:rFonts w:ascii="Times New Roman" w:eastAsia="Times New Roman" w:hAnsi="Times New Roman" w:cs="Times New Roman"/>
          <w:b/>
          <w:bCs/>
          <w:sz w:val="24"/>
          <w:szCs w:val="24"/>
        </w:rPr>
        <w:t>Increase in Cybersecurity Investments</w:t>
      </w:r>
      <w:r w:rsidRPr="00AC1CA8">
        <w:rPr>
          <w:rFonts w:ascii="Times New Roman" w:eastAsia="Times New Roman" w:hAnsi="Times New Roman" w:cs="Times New Roman"/>
          <w:sz w:val="24"/>
          <w:szCs w:val="24"/>
        </w:rPr>
        <w:t>:</w:t>
      </w:r>
    </w:p>
    <w:p w14:paraId="5D6A1B08" w14:textId="77777777" w:rsidR="00AC1CA8" w:rsidRPr="00AC1CA8" w:rsidRDefault="00AC1CA8" w:rsidP="00AC1C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Times New Roman" w:cs="Times New Roman"/>
          <w:b/>
          <w:bCs/>
          <w:sz w:val="24"/>
          <w:szCs w:val="24"/>
        </w:rPr>
        <w:t>Insight</w:t>
      </w:r>
      <w:r w:rsidRPr="00AC1CA8">
        <w:rPr>
          <w:rFonts w:ascii="Times New Roman" w:eastAsia="Times New Roman" w:hAnsi="Times New Roman" w:cs="Times New Roman"/>
          <w:sz w:val="24"/>
          <w:szCs w:val="24"/>
        </w:rPr>
        <w:t>: Investments in cybersecurity have risen from 1.5 billion USD in 2018 to 4.0 billion USD in 2023. This increase reflects the growing importance of protecting sensitive financial data and systems from cyber threats.</w:t>
      </w:r>
    </w:p>
    <w:p w14:paraId="4A9BF392" w14:textId="1C574922" w:rsidR="00AC1CA8" w:rsidRPr="00AC1CA8" w:rsidRDefault="00AC1CA8" w:rsidP="00AC1CA8">
      <w:p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Symbol" w:cs="Times New Roman"/>
          <w:sz w:val="24"/>
          <w:szCs w:val="24"/>
        </w:rPr>
        <w:t></w:t>
      </w:r>
      <w:r w:rsidRPr="00AC1CA8">
        <w:rPr>
          <w:rFonts w:ascii="Times New Roman" w:eastAsia="Times New Roman" w:hAnsi="Times New Roman" w:cs="Times New Roman"/>
          <w:sz w:val="24"/>
          <w:szCs w:val="24"/>
        </w:rPr>
        <w:t xml:space="preserve"> </w:t>
      </w:r>
      <w:r w:rsidRPr="00AC1CA8">
        <w:rPr>
          <w:rFonts w:ascii="Times New Roman" w:eastAsia="Times New Roman" w:hAnsi="Times New Roman" w:cs="Times New Roman"/>
          <w:b/>
          <w:bCs/>
          <w:sz w:val="24"/>
          <w:szCs w:val="24"/>
        </w:rPr>
        <w:t>Integration of AI and ML Technologies</w:t>
      </w:r>
      <w:r w:rsidRPr="00AC1CA8">
        <w:rPr>
          <w:rFonts w:ascii="Times New Roman" w:eastAsia="Times New Roman" w:hAnsi="Times New Roman" w:cs="Times New Roman"/>
          <w:sz w:val="24"/>
          <w:szCs w:val="24"/>
        </w:rPr>
        <w:t>:</w:t>
      </w:r>
    </w:p>
    <w:p w14:paraId="5BDC16EE" w14:textId="77777777" w:rsidR="00AC1CA8" w:rsidRPr="00AC1CA8" w:rsidRDefault="00AC1CA8" w:rsidP="00AC1C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Times New Roman" w:cs="Times New Roman"/>
          <w:b/>
          <w:bCs/>
          <w:sz w:val="24"/>
          <w:szCs w:val="24"/>
        </w:rPr>
        <w:t>Insight</w:t>
      </w:r>
      <w:r w:rsidRPr="00AC1CA8">
        <w:rPr>
          <w:rFonts w:ascii="Times New Roman" w:eastAsia="Times New Roman" w:hAnsi="Times New Roman" w:cs="Times New Roman"/>
          <w:sz w:val="24"/>
          <w:szCs w:val="24"/>
        </w:rPr>
        <w:t>: Investments in AI and ML technologies have increased from 0.5 billion USD in 2018 to 3.0 billion USD in 2023. These technologies are being increasingly integrated into core banking systems for enhanced data analysis, fraud detection, and personalized banking services.</w:t>
      </w:r>
    </w:p>
    <w:p w14:paraId="2568A212" w14:textId="5B9D55EC" w:rsidR="00AC1CA8" w:rsidRPr="00AC1CA8" w:rsidRDefault="00AC1CA8" w:rsidP="00AC1CA8">
      <w:p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Symbol" w:cs="Times New Roman"/>
          <w:sz w:val="24"/>
          <w:szCs w:val="24"/>
        </w:rPr>
        <w:t></w:t>
      </w:r>
      <w:r w:rsidRPr="00AC1CA8">
        <w:rPr>
          <w:rFonts w:ascii="Times New Roman" w:eastAsia="Times New Roman" w:hAnsi="Times New Roman" w:cs="Times New Roman"/>
          <w:sz w:val="24"/>
          <w:szCs w:val="24"/>
        </w:rPr>
        <w:t xml:space="preserve"> </w:t>
      </w:r>
      <w:bookmarkStart w:id="0" w:name="_GoBack"/>
      <w:bookmarkEnd w:id="0"/>
      <w:r w:rsidRPr="00AC1CA8">
        <w:rPr>
          <w:rFonts w:ascii="Times New Roman" w:eastAsia="Times New Roman" w:hAnsi="Times New Roman" w:cs="Times New Roman"/>
          <w:b/>
          <w:bCs/>
          <w:sz w:val="24"/>
          <w:szCs w:val="24"/>
        </w:rPr>
        <w:t>Rising Regulatory Compliance Costs</w:t>
      </w:r>
      <w:r w:rsidRPr="00AC1CA8">
        <w:rPr>
          <w:rFonts w:ascii="Times New Roman" w:eastAsia="Times New Roman" w:hAnsi="Times New Roman" w:cs="Times New Roman"/>
          <w:sz w:val="24"/>
          <w:szCs w:val="24"/>
        </w:rPr>
        <w:t>:</w:t>
      </w:r>
    </w:p>
    <w:p w14:paraId="3A1E5ED0" w14:textId="77777777" w:rsidR="00AC1CA8" w:rsidRPr="00AC1CA8" w:rsidRDefault="00AC1CA8" w:rsidP="00AC1C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1CA8">
        <w:rPr>
          <w:rFonts w:ascii="Times New Roman" w:eastAsia="Times New Roman" w:hAnsi="Times New Roman" w:cs="Times New Roman"/>
          <w:b/>
          <w:bCs/>
          <w:sz w:val="24"/>
          <w:szCs w:val="24"/>
        </w:rPr>
        <w:t>Insight</w:t>
      </w:r>
      <w:r w:rsidRPr="00AC1CA8">
        <w:rPr>
          <w:rFonts w:ascii="Times New Roman" w:eastAsia="Times New Roman" w:hAnsi="Times New Roman" w:cs="Times New Roman"/>
          <w:sz w:val="24"/>
          <w:szCs w:val="24"/>
        </w:rPr>
        <w:t>: Regulatory compliance costs have grown from 1.0 billion USD in 2018 to 2.4 billion USD in 2023. This trend highlights the increasing complexity and cost of complying with evolving financial regulations.</w:t>
      </w:r>
    </w:p>
    <w:p w14:paraId="3BE6B1D9" w14:textId="77777777" w:rsidR="00AC1CA8" w:rsidRPr="00E45487" w:rsidRDefault="00AC1CA8" w:rsidP="00E45487">
      <w:pPr>
        <w:rPr>
          <w:rFonts w:ascii="Times New Roman" w:hAnsi="Times New Roman" w:cs="Times New Roman"/>
          <w:b/>
          <w:sz w:val="24"/>
          <w:szCs w:val="24"/>
        </w:rPr>
      </w:pPr>
    </w:p>
    <w:sectPr w:rsidR="00AC1CA8" w:rsidRPr="00E4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BC"/>
    <w:multiLevelType w:val="multilevel"/>
    <w:tmpl w:val="548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14E04"/>
    <w:multiLevelType w:val="multilevel"/>
    <w:tmpl w:val="6714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3490E"/>
    <w:multiLevelType w:val="multilevel"/>
    <w:tmpl w:val="C1C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B464C"/>
    <w:multiLevelType w:val="multilevel"/>
    <w:tmpl w:val="23C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17FF7"/>
    <w:multiLevelType w:val="multilevel"/>
    <w:tmpl w:val="FC5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13182"/>
    <w:multiLevelType w:val="multilevel"/>
    <w:tmpl w:val="1AFC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67D60"/>
    <w:multiLevelType w:val="multilevel"/>
    <w:tmpl w:val="519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F3BB7"/>
    <w:multiLevelType w:val="multilevel"/>
    <w:tmpl w:val="270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71130"/>
    <w:multiLevelType w:val="multilevel"/>
    <w:tmpl w:val="2B12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0"/>
  </w:num>
  <w:num w:numId="5">
    <w:abstractNumId w:val="2"/>
  </w:num>
  <w:num w:numId="6">
    <w:abstractNumId w:val="4"/>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87"/>
    <w:rsid w:val="000D6FF0"/>
    <w:rsid w:val="00324E41"/>
    <w:rsid w:val="00AC1CA8"/>
    <w:rsid w:val="00E4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C593"/>
  <w15:chartTrackingRefBased/>
  <w15:docId w15:val="{47340819-317B-4FB6-8F99-A7D549D4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45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487"/>
    <w:rPr>
      <w:rFonts w:ascii="Times New Roman" w:eastAsia="Times New Roman" w:hAnsi="Times New Roman" w:cs="Times New Roman"/>
      <w:b/>
      <w:bCs/>
      <w:sz w:val="27"/>
      <w:szCs w:val="27"/>
    </w:rPr>
  </w:style>
  <w:style w:type="character" w:styleId="Strong">
    <w:name w:val="Strong"/>
    <w:basedOn w:val="DefaultParagraphFont"/>
    <w:uiPriority w:val="22"/>
    <w:qFormat/>
    <w:rsid w:val="00E45487"/>
    <w:rPr>
      <w:b/>
      <w:bCs/>
    </w:rPr>
  </w:style>
  <w:style w:type="paragraph" w:styleId="NormalWeb">
    <w:name w:val="Normal (Web)"/>
    <w:basedOn w:val="Normal"/>
    <w:uiPriority w:val="99"/>
    <w:semiHidden/>
    <w:unhideWhenUsed/>
    <w:rsid w:val="00E454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5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4608">
      <w:bodyDiv w:val="1"/>
      <w:marLeft w:val="0"/>
      <w:marRight w:val="0"/>
      <w:marTop w:val="0"/>
      <w:marBottom w:val="0"/>
      <w:divBdr>
        <w:top w:val="none" w:sz="0" w:space="0" w:color="auto"/>
        <w:left w:val="none" w:sz="0" w:space="0" w:color="auto"/>
        <w:bottom w:val="none" w:sz="0" w:space="0" w:color="auto"/>
        <w:right w:val="none" w:sz="0" w:space="0" w:color="auto"/>
      </w:divBdr>
    </w:div>
    <w:div w:id="392195916">
      <w:bodyDiv w:val="1"/>
      <w:marLeft w:val="0"/>
      <w:marRight w:val="0"/>
      <w:marTop w:val="0"/>
      <w:marBottom w:val="0"/>
      <w:divBdr>
        <w:top w:val="none" w:sz="0" w:space="0" w:color="auto"/>
        <w:left w:val="none" w:sz="0" w:space="0" w:color="auto"/>
        <w:bottom w:val="none" w:sz="0" w:space="0" w:color="auto"/>
        <w:right w:val="none" w:sz="0" w:space="0" w:color="auto"/>
      </w:divBdr>
    </w:div>
    <w:div w:id="453135458">
      <w:bodyDiv w:val="1"/>
      <w:marLeft w:val="0"/>
      <w:marRight w:val="0"/>
      <w:marTop w:val="0"/>
      <w:marBottom w:val="0"/>
      <w:divBdr>
        <w:top w:val="none" w:sz="0" w:space="0" w:color="auto"/>
        <w:left w:val="none" w:sz="0" w:space="0" w:color="auto"/>
        <w:bottom w:val="none" w:sz="0" w:space="0" w:color="auto"/>
        <w:right w:val="none" w:sz="0" w:space="0" w:color="auto"/>
      </w:divBdr>
    </w:div>
    <w:div w:id="638848144">
      <w:bodyDiv w:val="1"/>
      <w:marLeft w:val="0"/>
      <w:marRight w:val="0"/>
      <w:marTop w:val="0"/>
      <w:marBottom w:val="0"/>
      <w:divBdr>
        <w:top w:val="none" w:sz="0" w:space="0" w:color="auto"/>
        <w:left w:val="none" w:sz="0" w:space="0" w:color="auto"/>
        <w:bottom w:val="none" w:sz="0" w:space="0" w:color="auto"/>
        <w:right w:val="none" w:sz="0" w:space="0" w:color="auto"/>
      </w:divBdr>
    </w:div>
    <w:div w:id="941063998">
      <w:bodyDiv w:val="1"/>
      <w:marLeft w:val="0"/>
      <w:marRight w:val="0"/>
      <w:marTop w:val="0"/>
      <w:marBottom w:val="0"/>
      <w:divBdr>
        <w:top w:val="none" w:sz="0" w:space="0" w:color="auto"/>
        <w:left w:val="none" w:sz="0" w:space="0" w:color="auto"/>
        <w:bottom w:val="none" w:sz="0" w:space="0" w:color="auto"/>
        <w:right w:val="none" w:sz="0" w:space="0" w:color="auto"/>
      </w:divBdr>
    </w:div>
    <w:div w:id="135222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AI/ML Investment (Billion USD)</c:v>
                </c:pt>
              </c:strCache>
            </c:strRef>
          </c:tx>
          <c:spPr>
            <a:solidFill>
              <a:schemeClr val="accent1"/>
            </a:solidFill>
            <a:ln>
              <a:noFill/>
            </a:ln>
            <a:effectLst/>
          </c:spPr>
          <c:invertIfNegative val="0"/>
          <c:cat>
            <c:numRef>
              <c:f>Sheet1!$A$2:$A$7</c:f>
              <c:numCache>
                <c:formatCode>General</c:formatCode>
                <c:ptCount val="6"/>
                <c:pt idx="0">
                  <c:v>2018</c:v>
                </c:pt>
                <c:pt idx="1">
                  <c:v>2019</c:v>
                </c:pt>
                <c:pt idx="2">
                  <c:v>2020</c:v>
                </c:pt>
                <c:pt idx="3">
                  <c:v>2021</c:v>
                </c:pt>
                <c:pt idx="4">
                  <c:v>2022</c:v>
                </c:pt>
                <c:pt idx="5">
                  <c:v>2023</c:v>
                </c:pt>
              </c:numCache>
            </c:numRef>
          </c:cat>
          <c:val>
            <c:numRef>
              <c:f>Sheet1!$B$2:$B$7</c:f>
              <c:numCache>
                <c:formatCode>General</c:formatCode>
                <c:ptCount val="6"/>
                <c:pt idx="0">
                  <c:v>0.5</c:v>
                </c:pt>
                <c:pt idx="1">
                  <c:v>0.8</c:v>
                </c:pt>
                <c:pt idx="2">
                  <c:v>1.2</c:v>
                </c:pt>
                <c:pt idx="3">
                  <c:v>1.8</c:v>
                </c:pt>
                <c:pt idx="4">
                  <c:v>2.5</c:v>
                </c:pt>
                <c:pt idx="5">
                  <c:v>3</c:v>
                </c:pt>
              </c:numCache>
            </c:numRef>
          </c:val>
          <c:extLst>
            <c:ext xmlns:c16="http://schemas.microsoft.com/office/drawing/2014/chart" uri="{C3380CC4-5D6E-409C-BE32-E72D297353CC}">
              <c16:uniqueId val="{00000000-08E1-4914-9FD6-3B6F1E11F20D}"/>
            </c:ext>
          </c:extLst>
        </c:ser>
        <c:dLbls>
          <c:showLegendKey val="0"/>
          <c:showVal val="0"/>
          <c:showCatName val="0"/>
          <c:showSerName val="0"/>
          <c:showPercent val="0"/>
          <c:showBubbleSize val="0"/>
        </c:dLbls>
        <c:gapWidth val="219"/>
        <c:overlap val="-27"/>
        <c:axId val="1152715471"/>
        <c:axId val="1155244831"/>
      </c:barChart>
      <c:catAx>
        <c:axId val="115271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244831"/>
        <c:crosses val="autoZero"/>
        <c:auto val="1"/>
        <c:lblAlgn val="ctr"/>
        <c:lblOffset val="100"/>
        <c:noMultiLvlLbl val="0"/>
      </c:catAx>
      <c:valAx>
        <c:axId val="115524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715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44203849518811"/>
          <c:y val="0.19486111111111112"/>
          <c:w val="0.89655796150481193"/>
          <c:h val="0.72088764946048411"/>
        </c:manualLayout>
      </c:layout>
      <c:lineChart>
        <c:grouping val="standard"/>
        <c:varyColors val="0"/>
        <c:ser>
          <c:idx val="0"/>
          <c:order val="0"/>
          <c:tx>
            <c:strRef>
              <c:f>Sheet1!$F$1</c:f>
              <c:strCache>
                <c:ptCount val="1"/>
                <c:pt idx="0">
                  <c:v>Compliance Costs (Billion USD)</c:v>
                </c:pt>
              </c:strCache>
            </c:strRef>
          </c:tx>
          <c:spPr>
            <a:ln w="28575" cap="rnd">
              <a:solidFill>
                <a:schemeClr val="accent1"/>
              </a:solidFill>
              <a:round/>
            </a:ln>
            <a:effectLst/>
          </c:spPr>
          <c:marker>
            <c:symbol val="none"/>
          </c:marker>
          <c:cat>
            <c:numRef>
              <c:f>Sheet1!$E$2:$E$7</c:f>
              <c:numCache>
                <c:formatCode>General</c:formatCode>
                <c:ptCount val="6"/>
                <c:pt idx="0">
                  <c:v>2018</c:v>
                </c:pt>
                <c:pt idx="1">
                  <c:v>2019</c:v>
                </c:pt>
                <c:pt idx="2">
                  <c:v>2020</c:v>
                </c:pt>
                <c:pt idx="3">
                  <c:v>2021</c:v>
                </c:pt>
                <c:pt idx="4">
                  <c:v>2022</c:v>
                </c:pt>
                <c:pt idx="5">
                  <c:v>2023</c:v>
                </c:pt>
              </c:numCache>
            </c:numRef>
          </c:cat>
          <c:val>
            <c:numRef>
              <c:f>Sheet1!$F$2:$F$7</c:f>
              <c:numCache>
                <c:formatCode>General</c:formatCode>
                <c:ptCount val="6"/>
                <c:pt idx="0">
                  <c:v>1</c:v>
                </c:pt>
                <c:pt idx="1">
                  <c:v>1.2</c:v>
                </c:pt>
                <c:pt idx="2">
                  <c:v>1.5</c:v>
                </c:pt>
                <c:pt idx="3">
                  <c:v>1.8</c:v>
                </c:pt>
                <c:pt idx="4">
                  <c:v>2.1</c:v>
                </c:pt>
                <c:pt idx="5">
                  <c:v>2.4</c:v>
                </c:pt>
              </c:numCache>
            </c:numRef>
          </c:val>
          <c:smooth val="0"/>
          <c:extLst>
            <c:ext xmlns:c16="http://schemas.microsoft.com/office/drawing/2014/chart" uri="{C3380CC4-5D6E-409C-BE32-E72D297353CC}">
              <c16:uniqueId val="{00000000-192D-4CEA-9900-BF001FEC8BDE}"/>
            </c:ext>
          </c:extLst>
        </c:ser>
        <c:dLbls>
          <c:showLegendKey val="0"/>
          <c:showVal val="0"/>
          <c:showCatName val="0"/>
          <c:showSerName val="0"/>
          <c:showPercent val="0"/>
          <c:showBubbleSize val="0"/>
        </c:dLbls>
        <c:smooth val="0"/>
        <c:axId val="1244791663"/>
        <c:axId val="1291331887"/>
      </c:lineChart>
      <c:catAx>
        <c:axId val="124479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331887"/>
        <c:crosses val="autoZero"/>
        <c:auto val="1"/>
        <c:lblAlgn val="ctr"/>
        <c:lblOffset val="100"/>
        <c:noMultiLvlLbl val="0"/>
      </c:catAx>
      <c:valAx>
        <c:axId val="129133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791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2024-07-08T09:51:00Z</dcterms:created>
  <dcterms:modified xsi:type="dcterms:W3CDTF">2024-07-08T10:07:00Z</dcterms:modified>
</cp:coreProperties>
</file>